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Intercultural Institute of Comparative Music Studies (IISMC)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i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i w:val="1"/>
          <w:sz w:val="32"/>
          <w:szCs w:val="32"/>
          <w:rtl w:val="0"/>
        </w:rPr>
        <w:t xml:space="preserve">Eyes on Music: Projects of Audiovisual Ethnomusicology</w:t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Application form for DIEGO CARPITELLA SCHOLARSHIP 2025</w:t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sz w:val="24"/>
          <w:szCs w:val="24"/>
          <w:shd w:fill="9fc5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Submit your application to </w:t>
      </w:r>
      <w:hyperlink r:id="rId7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u w:val="single"/>
            <w:rtl w:val="0"/>
          </w:rPr>
          <w:t xml:space="preserve">musica.comparata@cini.it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by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15 April 2025</w:t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2"/>
        <w:gridCol w:w="5233"/>
        <w:tblGridChange w:id="0">
          <w:tblGrid>
            <w:gridCol w:w="5232"/>
            <w:gridCol w:w="523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Name and Surname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Date of Birth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(dd/mm/yyyy):                                        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Nationality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Address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6.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Telephone Number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7.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ID or Passport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(attach JPEG or PDF file of the scanned document):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lef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8.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Link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to one or more applicant’s audiovisual works, uploaded on a streaming platform (e.g. YouTube, Vimeo, etc.):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9.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Motivation letter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(max 300 words):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10.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Project description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(max 2 pages), including the ethnographic research behind this audiovisual project, a detailed description of the project’s plan, and technical details of the proposed work: 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Curriculum vitae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(max 1 page with date and signature - can be attached as a separate document), including personal experiences of working on audiovisual projects: 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Signature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even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1"/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9050" distT="19050" distL="19050" distR="19050">
          <wp:extent cx="3154680" cy="65131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4680" cy="651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18"/>
        <w:szCs w:val="18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jc w:val="center"/>
      <w:outlineLvl w:val="0"/>
    </w:pPr>
    <w:rPr>
      <w:b w:val="1"/>
      <w:sz w:val="28"/>
      <w:szCs w:val="28"/>
    </w:rPr>
  </w:style>
  <w:style w:type="paragraph" w:styleId="Titolo2">
    <w:name w:val="heading 2"/>
    <w:basedOn w:val="Normale"/>
    <w:next w:val="Normale"/>
    <w:pPr>
      <w:keepNext w:val="1"/>
      <w:outlineLvl w:val="1"/>
    </w:pPr>
    <w:rPr>
      <w:rFonts w:ascii="Garamond" w:cs="Garamond" w:eastAsia="Garamond" w:hAnsi="Garamond"/>
      <w:sz w:val="24"/>
      <w:szCs w:val="24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4A7164"/>
    <w:rPr>
      <w:color w:val="0000ff" w:themeColor="hyperlink"/>
      <w:u w:val="single"/>
    </w:rPr>
  </w:style>
  <w:style w:type="table" w:styleId="a3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99.0" w:type="dxa"/>
        <w:right w:w="99.0" w:type="dxa"/>
      </w:tblCellMar>
    </w:tblPr>
  </w:style>
  <w:style w:type="paragraph" w:styleId="Revisione">
    <w:name w:val="Revision"/>
    <w:hidden w:val="1"/>
    <w:uiPriority w:val="99"/>
    <w:semiHidden w:val="1"/>
    <w:rsid w:val="000A0E5C"/>
    <w:pPr>
      <w:widowControl w:val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usica.comparata@cini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rZ3Y871dMaIRP6rK14qQKnw0g==">CgMxLjAyCGguZ2pkZ3hzOAByITFsZTdfU1pxMnlKVlZlVzlRX19ZaTQwcVh3aEVHZjBEQw==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2023-02-01T09:54:00Z</dcterms:created>
  <dc:creator>Marta Zoppetti</dc:creator>
</cp:coreProperties>
</file>