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Venezia, Isola di San Giorgio Maggiore</w:t>
      </w:r>
    </w:p>
    <w:p w:rsidR="00000000" w:rsidDel="00000000" w:rsidP="00000000" w:rsidRDefault="00000000" w:rsidRPr="00000000" w14:paraId="00000002">
      <w:pPr>
        <w:spacing w:line="288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7 - 9 novembre 2024</w:t>
      </w:r>
    </w:p>
    <w:p w:rsidR="00000000" w:rsidDel="00000000" w:rsidP="00000000" w:rsidRDefault="00000000" w:rsidRPr="00000000" w14:paraId="00000003">
      <w:pPr>
        <w:spacing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Scheda | Intelligenza Artificiale e fiducia pubblica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Cosa significa per le persone avere fiducia nell’intelligenza artificiale? E cosa si potrebbe fare a riguardo?</w:t>
      </w:r>
    </w:p>
    <w:p w:rsidR="00000000" w:rsidDel="00000000" w:rsidP="00000000" w:rsidRDefault="00000000" w:rsidRPr="00000000" w14:paraId="00000008">
      <w:pPr>
        <w:spacing w:after="8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Keynote Speaker: Angeliki Kerasidou, Università di Oxfort (GB)</w:t>
      </w:r>
    </w:p>
    <w:p w:rsidR="00000000" w:rsidDel="00000000" w:rsidP="00000000" w:rsidRDefault="00000000" w:rsidRPr="00000000" w14:paraId="0000000A">
      <w:pPr>
        <w:spacing w:after="8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fiducia rappresenta una questione centrale nel contesto della ricerca e dell'innovazione guidata dai dati, anche e soprattutto quando si parla di Intelligenza Artificiale. 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Dalla </w:t>
      </w:r>
      <w:r w:rsidDel="00000000" w:rsidR="00000000" w:rsidRPr="00000000">
        <w:rPr>
          <w:b w:val="1"/>
          <w:sz w:val="22"/>
          <w:szCs w:val="22"/>
          <w:rtl w:val="0"/>
        </w:rPr>
        <w:t xml:space="preserve">fiducia nei confronti delle istituzioni e delle aziende</w:t>
      </w:r>
      <w:r w:rsidDel="00000000" w:rsidR="00000000" w:rsidRPr="00000000">
        <w:rPr>
          <w:sz w:val="22"/>
          <w:szCs w:val="22"/>
          <w:rtl w:val="0"/>
        </w:rPr>
        <w:t xml:space="preserve">, alla </w:t>
      </w:r>
      <w:r w:rsidDel="00000000" w:rsidR="00000000" w:rsidRPr="00000000">
        <w:rPr>
          <w:b w:val="1"/>
          <w:sz w:val="22"/>
          <w:szCs w:val="22"/>
          <w:rtl w:val="0"/>
        </w:rPr>
        <w:t xml:space="preserve">fiducia nella stessa tecnologia</w:t>
      </w:r>
      <w:r w:rsidDel="00000000" w:rsidR="00000000" w:rsidRPr="00000000">
        <w:rPr>
          <w:sz w:val="22"/>
          <w:szCs w:val="22"/>
          <w:rtl w:val="0"/>
        </w:rPr>
        <w:t xml:space="preserve">, oggi si presta molta attenzione su come garantire, generare e mantenere la fiducia. Se da una parte questa viene percepita come elemento fondamentale per lo sviluppo e l'introduzione di nuove tecnologie, dall’altra il modo in cui garantire o promuovere la fiducia rimane sfuggente. Sembra persistere, o addirittura aumentare, un deficit di fiducia nei confronti dell’intelligenza artificiale. Nonostante gli sforzi per garantirne l’affidabilità, cosa si potrebbe fare a riguardo?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Cosa si intende per ‘fiducia’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Perché la fiducia è così importante? La fiducia è una forma di relazione tra le persone, con le istituzioni e con le tecnologie che permette di accettare un certo livello di incertezza. La fiducia è il motore delle cose, ed è per questo motivo che le istituzioni e le aziende si adoperano per conquistarla. </w:t>
      </w:r>
      <w:r w:rsidDel="00000000" w:rsidR="00000000" w:rsidRPr="00000000">
        <w:rPr>
          <w:b w:val="1"/>
          <w:sz w:val="22"/>
          <w:szCs w:val="22"/>
          <w:rtl w:val="0"/>
        </w:rPr>
        <w:t xml:space="preserve">In ogni processo quindi la fiducia rappresenta l’elemento essenziale per l’accettabilità e la diffusione di una tecnologia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Sono evidenti gli sforzi da parte delle imprese che sviluppano sistemi di IA nel produrre una documentazione che dimostri effettivamente la loro affidabilità a partire dalle fasi di progettazione dei prodotti. </w:t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 sfida è quella di incorporare principi etici e regolamenti direttamente nel processo di progettazione tecnologica con l’obiettivo di trasmettere l’affidabilità direttamente sul prodotto finale</w:t>
      </w:r>
      <w:r w:rsidDel="00000000" w:rsidR="00000000" w:rsidRPr="00000000">
        <w:rPr>
          <w:sz w:val="22"/>
          <w:szCs w:val="22"/>
          <w:rtl w:val="0"/>
        </w:rPr>
        <w:t xml:space="preserve">. Tuttavia, nonostante gli sforzi da parte delle aziende, non sembra che a una maggiore affidabilità corrisponda direttamente una maggior fiducia da parte del consumatore finale. </w:t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L’obiettivo: guardare alla fiducia pubblica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Per costruire una vera relazione le aziende e le istituzioni dovrebbero guardare a un altro tipo di fiducia: quella pubblica</w:t>
      </w:r>
      <w:r w:rsidDel="00000000" w:rsidR="00000000" w:rsidRPr="00000000">
        <w:rPr>
          <w:sz w:val="22"/>
          <w:szCs w:val="22"/>
          <w:rtl w:val="0"/>
        </w:rPr>
        <w:t xml:space="preserve">. Si tratta della fiducia che il pubblico nutre nei confronti di quelle realtà che operano a servizio del bene comune. Dal momento che l’assistenza sanitaria viene considerata come un bene pubblico, c’è particolare diffidenza da parte del consumatore rispetto alle aziende che sviluppano sistemi tecnologici legati a questo ambito.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sz w:val="28"/>
          <w:szCs w:val="28"/>
          <w:rtl w:val="0"/>
        </w:rPr>
        <w:t xml:space="preserve">Diminuisce la fiducia nell’IA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Secondo l’ultima pubblicazione </w:t>
      </w:r>
      <w:hyperlink r:id="rId7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dell’Edelman Trust Barometer 2024</w:t>
        </w:r>
      </w:hyperlink>
      <w:r w:rsidDel="00000000" w:rsidR="00000000" w:rsidRPr="00000000">
        <w:rPr>
          <w:sz w:val="22"/>
          <w:szCs w:val="22"/>
          <w:rtl w:val="0"/>
        </w:rPr>
        <w:t xml:space="preserve"> la fiducia nei confronti dell’intelligenza artificiale sembra diminuire in modo generalizzato con una maggiore velocità nei Paesi Sviluppati nonostante questi abbiano maggiore accesso alle informazioni relative a questi strumenti. 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Questo fa ritenere che, </w:t>
      </w:r>
      <w:r w:rsidDel="00000000" w:rsidR="00000000" w:rsidRPr="00000000">
        <w:rPr>
          <w:b w:val="1"/>
          <w:sz w:val="22"/>
          <w:szCs w:val="22"/>
          <w:rtl w:val="0"/>
        </w:rPr>
        <w:t xml:space="preserve">dove l’intelligenza artificiale vive un maggiore sviluppo, ci si fida meno di essa.</w:t>
      </w:r>
      <w:r w:rsidDel="00000000" w:rsidR="00000000" w:rsidRPr="00000000">
        <w:rPr>
          <w:sz w:val="22"/>
          <w:szCs w:val="22"/>
          <w:rtl w:val="0"/>
        </w:rPr>
        <w:t xml:space="preserve"> Il 42% degli intervistati non considera positivamente l’utilizzo dell’intelligenza artificiale nell’interazione con i pazienti, mentre il 32% è dubbioso rispetto ad una sua implementazione nello sviluppo di nuovi farmaci. Le criticità permangono anche sul fronte della diagnosi medica dove, il 31% degli intervistati, respinge questo tipo di applicazione.</w:t>
      </w:r>
    </w:p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4747895" cy="2592070"/>
            <wp:effectExtent b="0" l="0" r="0" t="0"/>
            <wp:docPr descr="Immagine che contiene testo, schermata, Carattere, numero&#10;&#10;Descrizione generata automaticamente" id="889160945" name="image1.png"/>
            <a:graphic>
              <a:graphicData uri="http://schemas.openxmlformats.org/drawingml/2006/picture">
                <pic:pic>
                  <pic:nvPicPr>
                    <pic:cNvPr descr="Immagine che contiene testo, schermata, Carattere, numero&#10;&#10;Descrizione generata automaticamente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2592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Uno studio condotto da Angeiliki Kerasidou e dal suo team ha monitorato la percezione e i punti di vista degli operatori sanitari rispetto all’utilizzo di strumenti di AI sui propri pazienti. Quello che emerge è che i medici e gli operatori sanitari ricercano strumenti affidabili e di adeguata efficacia per i propri pazienti. In altre parole</w:t>
      </w:r>
      <w:r w:rsidDel="00000000" w:rsidR="00000000" w:rsidRPr="00000000">
        <w:rPr>
          <w:b w:val="1"/>
          <w:sz w:val="22"/>
          <w:szCs w:val="22"/>
          <w:rtl w:val="0"/>
        </w:rPr>
        <w:t xml:space="preserve">, non basta essere rassicurati dalle aziende sul fatto che queste tecnologie funzionino, ma hanno la necessità di sapere come e perché funzionano</w:t>
      </w:r>
      <w:r w:rsidDel="00000000" w:rsidR="00000000" w:rsidRPr="00000000">
        <w:rPr>
          <w:sz w:val="22"/>
          <w:szCs w:val="22"/>
          <w:rtl w:val="0"/>
        </w:rPr>
        <w:t xml:space="preserve">, con quali livelli di accuratezza lavorano e magari partecipare al processo di validazione. </w:t>
      </w:r>
    </w:p>
    <w:p w:rsidR="00000000" w:rsidDel="00000000" w:rsidP="00000000" w:rsidRDefault="00000000" w:rsidRPr="00000000" w14:paraId="00000021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conseguenza i pazienti demandano la convalida delle tecnologie AI direttamente agli operatori sanitari. </w:t>
      </w:r>
      <w:r w:rsidDel="00000000" w:rsidR="00000000" w:rsidRPr="00000000">
        <w:rPr>
          <w:b w:val="1"/>
          <w:sz w:val="22"/>
          <w:szCs w:val="22"/>
          <w:rtl w:val="0"/>
        </w:rPr>
        <w:t xml:space="preserve">Ad essere rilasciati, secondo i cittadini, dovrebbero essere soltanto quegli strumenti al servizio del bene pubblico convalidati da chi ha i giusti strumenti di valutazione.</w:t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monopoli dell’IA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Gli avanzamenti legati allo sviluppo di tecnologie AI riguardano soprattutto gli investimenti privati. </w:t>
      </w:r>
      <w:r w:rsidDel="00000000" w:rsidR="00000000" w:rsidRPr="00000000">
        <w:rPr>
          <w:b w:val="1"/>
          <w:sz w:val="22"/>
          <w:szCs w:val="22"/>
          <w:rtl w:val="0"/>
        </w:rPr>
        <w:t xml:space="preserve">Esiste una geopolitica della fiducia?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Ci si fida più dell’intelligenza artificiale americana o di quella cinese?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È bene sottolineare come </w:t>
      </w:r>
      <w:r w:rsidDel="00000000" w:rsidR="00000000" w:rsidRPr="00000000">
        <w:rPr>
          <w:b w:val="1"/>
          <w:sz w:val="22"/>
          <w:szCs w:val="22"/>
          <w:rtl w:val="0"/>
        </w:rPr>
        <w:t xml:space="preserve">la fiducia si basi prevalentemente sulle esperienze delle singole persone che portano a sviluppare una ragionevole convinzione</w:t>
      </w:r>
      <w:r w:rsidDel="00000000" w:rsidR="00000000" w:rsidRPr="00000000">
        <w:rPr>
          <w:sz w:val="22"/>
          <w:szCs w:val="22"/>
          <w:rtl w:val="0"/>
        </w:rPr>
        <w:t xml:space="preserve">. Per alcuni, quindi, certi Paesi o certe istituzioni e aziende rappresentano in primis l’esperienza che hanno avuto con loro in prima o in seconda persona. Occorre poi considerare quelli che vengono definiti come monopoli tecnologici e chiedersi se il fatto che le persone usino certi prodotti sia necessariamente indice di fiducia.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Angeliki Kerasidou</w:t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Esperta di etica, è professore associato presso l’Ethox Centre e ricercatrice presso il Wellcome Centre For Ethics and Humanities dell’Università di Oxford.</w:t>
      </w:r>
    </w:p>
    <w:p w:rsidR="00000000" w:rsidDel="00000000" w:rsidP="00000000" w:rsidRDefault="00000000" w:rsidRPr="00000000" w14:paraId="0000002B">
      <w:pPr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suo lavoro di ricerca indaga gli aspetti etici delle tecnologie guidate dai dati nell’assistenza sanitaria e nella ricerca sulla salute.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È co-responsabile dei moduli di etica per il CDT in Health Data Sciences del Dipartimento di Informatica e per l'MSc in Global Health Science and Epidemiology dell'Oxford Population Health. È responsabile del corso di Etica della ricerca e integrità della ricerca e di Etica e diritto dell'aborto e delle tecnologie riproduttive artificiali per la divisione di Scienze mediche.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hyperlink r:id="rId9">
        <w:r w:rsidDel="00000000" w:rsidR="00000000" w:rsidRPr="00000000">
          <w:rPr>
            <w:b w:val="1"/>
            <w:rtl w:val="0"/>
          </w:rPr>
          <w:t xml:space="preserve">Angeliki Kerasidou</w:t>
        </w:r>
      </w:hyperlink>
      <w:r w:rsidDel="00000000" w:rsidR="00000000" w:rsidRPr="00000000">
        <w:rPr>
          <w:b w:val="1"/>
          <w:rtl w:val="0"/>
        </w:rPr>
        <w:t xml:space="preserve"> sarà keynote speaker al Simposio </w:t>
      </w:r>
      <w:r w:rsidDel="00000000" w:rsidR="00000000" w:rsidRPr="00000000">
        <w:rPr>
          <w:b w:val="1"/>
          <w:i w:val="1"/>
          <w:rtl w:val="0"/>
        </w:rPr>
        <w:t xml:space="preserve">Global Health in the Age of AI. Charting a Course for Ethical Implementation and Societal Benefit </w:t>
      </w:r>
      <w:r w:rsidDel="00000000" w:rsidR="00000000" w:rsidRPr="00000000">
        <w:rPr>
          <w:b w:val="1"/>
          <w:rtl w:val="0"/>
        </w:rPr>
        <w:t xml:space="preserve">il giorno 8 novembre 2024, alle ore 9:30 .</w:t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Per seguirla</w:t>
      </w:r>
      <w:r w:rsidDel="00000000" w:rsidR="00000000" w:rsidRPr="00000000">
        <w:rPr>
          <w:b w:val="1"/>
          <w:rtl w:val="0"/>
        </w:rPr>
        <w:t xml:space="preserve">: diretta streaming sul </w:t>
      </w:r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canale youtube della Fondazione Giorgio Cini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20" w:w="11900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b="0" l="0" r="0" t="0"/>
              <wp:wrapNone/>
              <wp:docPr descr="Shape 2" id="8891609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b="0" l="0" r="0" t="0"/>
              <wp:wrapNone/>
              <wp:docPr descr="Shape 2" id="889160944" name="image3.png"/>
              <a:graphic>
                <a:graphicData uri="http://schemas.openxmlformats.org/drawingml/2006/picture">
                  <pic:pic>
                    <pic:nvPicPr>
                      <pic:cNvPr descr="Shape 2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b="0" l="0" r="0" t="0"/>
          <wp:wrapNone/>
          <wp:docPr descr="image1.png" id="889160946" name="image2.jpg"/>
          <a:graphic>
            <a:graphicData uri="http://schemas.openxmlformats.org/drawingml/2006/picture">
              <pic:pic>
                <pic:nvPicPr>
                  <pic:cNvPr descr="image1.png" id="0" name="image2.jpg"/>
                  <pic:cNvPicPr preferRelativeResize="0"/>
                </pic:nvPicPr>
                <pic:blipFill>
                  <a:blip r:embed="rId2"/>
                  <a:srcRect b="0" l="15" r="14" t="0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A3C0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AA3C08"/>
    <w:rPr>
      <w:rFonts w:ascii="Segoe UI" w:cs="Segoe UI" w:hAnsi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 w:val="1"/>
    <w:rsid w:val="00AA3C08"/>
    <w:rPr>
      <w:color w:val="0000ff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8428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youtube.com/user/FondazioneGCini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ndph.ox.ac.uk/team/angeliki-kerasido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delman.com/sites/g/files/aatuss191/files/2024-04/2024%20Edelman%20Trust%20Barometer%20Trust%20and%20Health_1.pdf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bdrawEWDpMtcR4LsKibNAlVgQ==">CgMxLjAyCWguMzBqMHpsbDgAciExOGg1eXZucmJzbV9KNVdPcUJZVTRWMmUxNWNwc1I3bG8=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2024-10-16T08:19:00Z</dcterms:created>
  <dc:creator>Giulia</dc:creator>
</cp:coreProperties>
</file>