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8C" w:rsidRDefault="00F16DBB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Venezia, Isola di San Giorgio Maggiore</w:t>
      </w:r>
    </w:p>
    <w:p w:rsidR="00F5278C" w:rsidRDefault="00F16DBB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7 - 9 novembre 2024</w:t>
      </w:r>
    </w:p>
    <w:p w:rsidR="00F5278C" w:rsidRDefault="00F5278C">
      <w:pPr>
        <w:spacing w:line="288" w:lineRule="auto"/>
        <w:rPr>
          <w:sz w:val="20"/>
          <w:szCs w:val="20"/>
        </w:rPr>
      </w:pPr>
    </w:p>
    <w:p w:rsidR="00F5278C" w:rsidRDefault="00F5278C">
      <w:pPr>
        <w:rPr>
          <w:b/>
          <w:sz w:val="28"/>
          <w:szCs w:val="28"/>
        </w:rPr>
      </w:pPr>
    </w:p>
    <w:p w:rsidR="00F5278C" w:rsidRDefault="00F16DBB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Scheda | Intelligenza Artificiale ed equità sanitaria globale</w:t>
      </w:r>
    </w:p>
    <w:p w:rsidR="00F5278C" w:rsidRDefault="00F16DBB">
      <w:pPr>
        <w:rPr>
          <w:sz w:val="28"/>
          <w:szCs w:val="28"/>
        </w:rPr>
      </w:pPr>
      <w:r>
        <w:rPr>
          <w:sz w:val="28"/>
          <w:szCs w:val="28"/>
        </w:rPr>
        <w:t>Come passare dalle promesse alla pratica?</w:t>
      </w:r>
      <w:r>
        <w:t xml:space="preserve"> </w:t>
      </w:r>
      <w:r>
        <w:rPr>
          <w:sz w:val="28"/>
          <w:szCs w:val="28"/>
        </w:rPr>
        <w:t>Di cosa ha bisogno l’IA in medicina per funzionare in maniera adeguata?</w:t>
      </w:r>
    </w:p>
    <w:p w:rsidR="00F5278C" w:rsidRDefault="00F5278C">
      <w:pPr>
        <w:rPr>
          <w:sz w:val="28"/>
          <w:szCs w:val="28"/>
        </w:rPr>
      </w:pPr>
    </w:p>
    <w:p w:rsidR="00F5278C" w:rsidRDefault="00F16DBB">
      <w:pPr>
        <w:rPr>
          <w:sz w:val="28"/>
          <w:szCs w:val="28"/>
        </w:rPr>
      </w:pPr>
      <w:proofErr w:type="spellStart"/>
      <w:r>
        <w:rPr>
          <w:sz w:val="26"/>
          <w:szCs w:val="26"/>
        </w:rPr>
        <w:t>Keynote</w:t>
      </w:r>
      <w:proofErr w:type="spellEnd"/>
      <w:r>
        <w:rPr>
          <w:sz w:val="26"/>
          <w:szCs w:val="26"/>
        </w:rPr>
        <w:t xml:space="preserve"> Speaker: Amalia </w:t>
      </w:r>
      <w:proofErr w:type="spellStart"/>
      <w:r>
        <w:rPr>
          <w:sz w:val="26"/>
          <w:szCs w:val="26"/>
        </w:rPr>
        <w:t>Fiske</w:t>
      </w:r>
      <w:proofErr w:type="spellEnd"/>
      <w:r>
        <w:rPr>
          <w:sz w:val="26"/>
          <w:szCs w:val="26"/>
        </w:rPr>
        <w:t>, Università Tecnica di Monaco</w:t>
      </w:r>
      <w:r>
        <w:rPr>
          <w:sz w:val="28"/>
          <w:szCs w:val="28"/>
        </w:rPr>
        <w:t xml:space="preserve"> (G)</w:t>
      </w:r>
    </w:p>
    <w:p w:rsidR="00F5278C" w:rsidRDefault="00F5278C">
      <w:pPr>
        <w:spacing w:after="80"/>
        <w:rPr>
          <w:b/>
          <w:i/>
          <w:sz w:val="20"/>
          <w:szCs w:val="20"/>
        </w:rPr>
      </w:pPr>
    </w:p>
    <w:p w:rsidR="003B0D9F" w:rsidRDefault="003B0D9F">
      <w:pPr>
        <w:rPr>
          <w:sz w:val="22"/>
          <w:szCs w:val="22"/>
        </w:rPr>
      </w:pPr>
    </w:p>
    <w:p w:rsidR="003B0D9F" w:rsidRDefault="003B0D9F">
      <w:pPr>
        <w:rPr>
          <w:sz w:val="22"/>
          <w:szCs w:val="22"/>
        </w:rPr>
      </w:pPr>
    </w:p>
    <w:p w:rsidR="00F5278C" w:rsidRDefault="00F16DBB">
      <w:bookmarkStart w:id="0" w:name="_GoBack"/>
      <w:bookmarkEnd w:id="0"/>
      <w:r>
        <w:rPr>
          <w:sz w:val="22"/>
          <w:szCs w:val="22"/>
        </w:rPr>
        <w:t>Molti si aspettano che l'IA contribuisca a risolvere i problemi complessi della medicina, migliorando la qualità e l'accesso alle cure, perfezionando la diagnostica, offrendo nuove terapie pi</w:t>
      </w:r>
      <w:r>
        <w:rPr>
          <w:sz w:val="22"/>
          <w:szCs w:val="22"/>
        </w:rPr>
        <w:t xml:space="preserve">ù mirate o riducendo i costi. Ma questa è solo una faccia della medaglia. </w:t>
      </w:r>
      <w:r>
        <w:t xml:space="preserve"> </w:t>
      </w:r>
    </w:p>
    <w:p w:rsidR="00F5278C" w:rsidRDefault="00F16DBB">
      <w:r>
        <w:rPr>
          <w:b/>
          <w:sz w:val="22"/>
          <w:szCs w:val="22"/>
        </w:rPr>
        <w:t>L’aspetto più preoccupante dell’Intelligenza artificiale è</w:t>
      </w:r>
      <w:r>
        <w:rPr>
          <w:b/>
        </w:rPr>
        <w:t xml:space="preserve"> che possa</w:t>
      </w:r>
      <w:r>
        <w:rPr>
          <w:b/>
          <w:sz w:val="22"/>
          <w:szCs w:val="22"/>
        </w:rPr>
        <w:t xml:space="preserve"> esacerbare le disuguaglianze strutturali esistenti in ambito sanitario</w:t>
      </w:r>
      <w:r>
        <w:rPr>
          <w:b/>
        </w:rPr>
        <w:t xml:space="preserve"> e della salute globale</w:t>
      </w:r>
      <w:r>
        <w:rPr>
          <w:sz w:val="22"/>
          <w:szCs w:val="22"/>
        </w:rPr>
        <w:t>. Come passare qui</w:t>
      </w:r>
      <w:r>
        <w:rPr>
          <w:sz w:val="22"/>
          <w:szCs w:val="22"/>
        </w:rPr>
        <w:t xml:space="preserve">ndi dalle promesse dell’intelligenza artificiale a miglioramenti pratici sul campo? Di cosa ha bisogno l’AI in medicina per funzionare in maniera adeguata? </w:t>
      </w:r>
    </w:p>
    <w:p w:rsidR="00F5278C" w:rsidRDefault="00F5278C">
      <w:pPr>
        <w:rPr>
          <w:sz w:val="28"/>
          <w:szCs w:val="28"/>
        </w:rPr>
      </w:pPr>
    </w:p>
    <w:p w:rsidR="00F5278C" w:rsidRDefault="00F16DBB">
      <w:pPr>
        <w:rPr>
          <w:sz w:val="28"/>
          <w:szCs w:val="28"/>
        </w:rPr>
      </w:pPr>
      <w:r>
        <w:rPr>
          <w:sz w:val="28"/>
          <w:szCs w:val="28"/>
        </w:rPr>
        <w:t>La questione delle infrastrutture</w:t>
      </w:r>
    </w:p>
    <w:p w:rsidR="00F5278C" w:rsidRDefault="00F5278C">
      <w:pPr>
        <w:rPr>
          <w:sz w:val="22"/>
          <w:szCs w:val="22"/>
        </w:rPr>
      </w:pPr>
    </w:p>
    <w:p w:rsidR="00F5278C" w:rsidRDefault="00F16DBB">
      <w:r>
        <w:rPr>
          <w:sz w:val="22"/>
          <w:szCs w:val="22"/>
        </w:rPr>
        <w:t>I risultati di una ricerca coordinata</w:t>
      </w:r>
      <w:r>
        <w:t xml:space="preserve"> da Amalia </w:t>
      </w:r>
      <w:proofErr w:type="spellStart"/>
      <w:r>
        <w:t>Fiske</w:t>
      </w:r>
      <w:proofErr w:type="spellEnd"/>
      <w:r>
        <w:rPr>
          <w:sz w:val="22"/>
          <w:szCs w:val="22"/>
        </w:rPr>
        <w:t xml:space="preserve"> </w:t>
      </w:r>
      <w:r>
        <w:t>sul</w:t>
      </w:r>
      <w:r>
        <w:rPr>
          <w:sz w:val="22"/>
          <w:szCs w:val="22"/>
        </w:rPr>
        <w:t xml:space="preserve">l’uso </w:t>
      </w:r>
      <w:r>
        <w:rPr>
          <w:sz w:val="22"/>
          <w:szCs w:val="22"/>
        </w:rPr>
        <w:t xml:space="preserve">dell’intelligenza artificiale nelle unità di terapia intensiva di tutto il mondo evidenziano una realtà amara. </w:t>
      </w:r>
      <w:r>
        <w:rPr>
          <w:b/>
          <w:sz w:val="22"/>
          <w:szCs w:val="22"/>
        </w:rPr>
        <w:t>Nella maggior parte dei casi, le unità di terapia intensiva non dispongono nemmeno della connettività di base tra i dispositivi a letto e i siste</w:t>
      </w:r>
      <w:r>
        <w:rPr>
          <w:b/>
          <w:sz w:val="22"/>
          <w:szCs w:val="22"/>
        </w:rPr>
        <w:t xml:space="preserve">mi di cartelle cliniche elettroniche. </w:t>
      </w:r>
      <w:r>
        <w:rPr>
          <w:sz w:val="22"/>
          <w:szCs w:val="22"/>
        </w:rPr>
        <w:t xml:space="preserve">Si tratta di un tipo di informazioni fondamentali per importare automaticamente i dati necessari e poter utilizzare cos qualsiasi sistema di intelligenza artificiale. </w:t>
      </w:r>
    </w:p>
    <w:p w:rsidR="00F5278C" w:rsidRDefault="00F16DBB">
      <w:r>
        <w:rPr>
          <w:sz w:val="22"/>
          <w:szCs w:val="22"/>
        </w:rPr>
        <w:t xml:space="preserve">La mancanza dell’infrastruttura di base, anche in </w:t>
      </w:r>
      <w:r>
        <w:rPr>
          <w:sz w:val="22"/>
          <w:szCs w:val="22"/>
        </w:rPr>
        <w:t>contesti a reddito medio-alto, non garantisce d</w:t>
      </w:r>
      <w:r>
        <w:t>i sfruttare in modo efficace l’intelligenza artificiale</w:t>
      </w:r>
      <w:r>
        <w:rPr>
          <w:b/>
          <w:sz w:val="22"/>
          <w:szCs w:val="22"/>
        </w:rPr>
        <w:t>. Per promuovere l’equità nella salute globale è necessario riflettere su quali siano le priorità,</w:t>
      </w:r>
      <w:r>
        <w:rPr>
          <w:sz w:val="22"/>
          <w:szCs w:val="22"/>
        </w:rPr>
        <w:t xml:space="preserve"> e a volte le priorità corrispondono con l’investire in </w:t>
      </w:r>
      <w:r>
        <w:rPr>
          <w:sz w:val="22"/>
          <w:szCs w:val="22"/>
        </w:rPr>
        <w:t>questioni</w:t>
      </w:r>
      <w:r>
        <w:t xml:space="preserve"> di base molto più banali dell’</w:t>
      </w:r>
      <w:r>
        <w:rPr>
          <w:sz w:val="22"/>
          <w:szCs w:val="22"/>
        </w:rPr>
        <w:t>I</w:t>
      </w:r>
      <w:r>
        <w:t>A</w:t>
      </w:r>
      <w:r>
        <w:rPr>
          <w:sz w:val="22"/>
          <w:szCs w:val="22"/>
        </w:rPr>
        <w:t xml:space="preserve">, come per esempio l’accesso a dei servizi o l’approvvigionamento di materiali e dispositivi sanitari. </w:t>
      </w:r>
      <w:r>
        <w:rPr>
          <w:b/>
          <w:sz w:val="22"/>
          <w:szCs w:val="22"/>
        </w:rPr>
        <w:t>Per prima cosa, quindi, si rende n</w:t>
      </w:r>
      <w:r>
        <w:rPr>
          <w:b/>
        </w:rPr>
        <w:t xml:space="preserve">ecessario costruire </w:t>
      </w:r>
      <w:r>
        <w:rPr>
          <w:b/>
          <w:sz w:val="22"/>
          <w:szCs w:val="22"/>
        </w:rPr>
        <w:t xml:space="preserve">un’infrastruttura </w:t>
      </w:r>
      <w:r>
        <w:rPr>
          <w:b/>
        </w:rPr>
        <w:t>che contempli sia i beni materiali, sia</w:t>
      </w:r>
      <w:r>
        <w:rPr>
          <w:b/>
        </w:rPr>
        <w:t xml:space="preserve"> </w:t>
      </w:r>
      <w:r>
        <w:rPr>
          <w:b/>
          <w:sz w:val="22"/>
          <w:szCs w:val="22"/>
        </w:rPr>
        <w:t>la componente umana</w:t>
      </w:r>
      <w:r>
        <w:rPr>
          <w:sz w:val="22"/>
          <w:szCs w:val="22"/>
        </w:rPr>
        <w:t xml:space="preserve">. </w:t>
      </w:r>
    </w:p>
    <w:p w:rsidR="00F5278C" w:rsidRDefault="00F16DBB">
      <w:r>
        <w:rPr>
          <w:b/>
          <w:sz w:val="22"/>
          <w:szCs w:val="22"/>
        </w:rPr>
        <w:t>Se i sistemi di intelligenza artificiale si inseriscono in uno scenario sanitario dove sono già presenti delle carenze e delle lacune, sicuramente finiranno per acuire le disparità</w:t>
      </w:r>
      <w:r>
        <w:rPr>
          <w:sz w:val="22"/>
          <w:szCs w:val="22"/>
        </w:rPr>
        <w:t>. Se prendiamo in esame il sistema sanitario statunit</w:t>
      </w:r>
      <w:r>
        <w:rPr>
          <w:sz w:val="22"/>
          <w:szCs w:val="22"/>
        </w:rPr>
        <w:t>ense, da una parte esiste una fetta di popolazione che può accedere ad un livello di assistenza molto alto</w:t>
      </w:r>
      <w:r>
        <w:t>;</w:t>
      </w:r>
      <w:r>
        <w:rPr>
          <w:sz w:val="22"/>
          <w:szCs w:val="22"/>
        </w:rPr>
        <w:t xml:space="preserve"> dall’altra, gruppi che per questioni socioeconomiche e assicurative non hanno proprio accesso all’assistenza sanitaria. Quindi, implementare soluzio</w:t>
      </w:r>
      <w:r>
        <w:rPr>
          <w:sz w:val="22"/>
          <w:szCs w:val="22"/>
        </w:rPr>
        <w:t>ni di intelligenza artificiale in questo sistema servirà soltan</w:t>
      </w:r>
      <w:r>
        <w:t>to a coloro che sono già in gra</w:t>
      </w:r>
      <w:r>
        <w:rPr>
          <w:sz w:val="22"/>
          <w:szCs w:val="22"/>
        </w:rPr>
        <w:t xml:space="preserve">do di trarne vantaggio, senza portare alcun tipo di contributo in termini di assistenza di base. </w:t>
      </w:r>
    </w:p>
    <w:p w:rsidR="00F5278C" w:rsidRDefault="00F5278C">
      <w:pPr>
        <w:rPr>
          <w:sz w:val="28"/>
          <w:szCs w:val="28"/>
        </w:rPr>
      </w:pPr>
    </w:p>
    <w:p w:rsidR="00F5278C" w:rsidRDefault="00F16DBB">
      <w:r>
        <w:rPr>
          <w:sz w:val="28"/>
          <w:szCs w:val="28"/>
        </w:rPr>
        <w:lastRenderedPageBreak/>
        <w:t>La questione dell’algoritmo</w:t>
      </w:r>
    </w:p>
    <w:p w:rsidR="00F5278C" w:rsidRDefault="00F5278C">
      <w:pPr>
        <w:rPr>
          <w:sz w:val="22"/>
          <w:szCs w:val="22"/>
        </w:rPr>
      </w:pPr>
    </w:p>
    <w:p w:rsidR="00F5278C" w:rsidRDefault="00F16DBB">
      <w:r>
        <w:rPr>
          <w:sz w:val="22"/>
          <w:szCs w:val="22"/>
        </w:rPr>
        <w:t>Esistono molti altri casi in cui l</w:t>
      </w:r>
      <w:r>
        <w:rPr>
          <w:sz w:val="22"/>
          <w:szCs w:val="22"/>
        </w:rPr>
        <w:t>’IA implementata in medicina ha esasperato le disuguaglianze esistenti. Il celebre stu</w:t>
      </w:r>
      <w:r>
        <w:t xml:space="preserve">dio condotto da Ziad </w:t>
      </w:r>
      <w:proofErr w:type="spellStart"/>
      <w:r>
        <w:t>Obermeyer</w:t>
      </w:r>
      <w:proofErr w:type="spellEnd"/>
      <w:r>
        <w:t xml:space="preserve">, </w:t>
      </w:r>
      <w:proofErr w:type="spellStart"/>
      <w:r>
        <w:rPr>
          <w:i/>
          <w:sz w:val="22"/>
          <w:szCs w:val="22"/>
        </w:rPr>
        <w:t>Dissecting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racial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bias</w:t>
      </w:r>
      <w:proofErr w:type="spellEnd"/>
      <w:r>
        <w:rPr>
          <w:i/>
          <w:sz w:val="22"/>
          <w:szCs w:val="22"/>
        </w:rPr>
        <w:t xml:space="preserve"> in an </w:t>
      </w:r>
      <w:proofErr w:type="spellStart"/>
      <w:r>
        <w:rPr>
          <w:i/>
          <w:sz w:val="22"/>
          <w:szCs w:val="22"/>
        </w:rPr>
        <w:t>algorithm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used</w:t>
      </w:r>
      <w:proofErr w:type="spellEnd"/>
      <w:r>
        <w:rPr>
          <w:i/>
          <w:sz w:val="22"/>
          <w:szCs w:val="22"/>
        </w:rPr>
        <w:t xml:space="preserve"> to </w:t>
      </w:r>
      <w:proofErr w:type="spellStart"/>
      <w:r>
        <w:rPr>
          <w:i/>
          <w:sz w:val="22"/>
          <w:szCs w:val="22"/>
        </w:rPr>
        <w:t>manage</w:t>
      </w:r>
      <w:proofErr w:type="spellEnd"/>
      <w:r>
        <w:rPr>
          <w:i/>
          <w:sz w:val="22"/>
          <w:szCs w:val="22"/>
        </w:rPr>
        <w:t xml:space="preserve"> the </w:t>
      </w:r>
      <w:proofErr w:type="spellStart"/>
      <w:r>
        <w:rPr>
          <w:i/>
          <w:sz w:val="22"/>
          <w:szCs w:val="22"/>
        </w:rPr>
        <w:t>health</w:t>
      </w:r>
      <w:proofErr w:type="spellEnd"/>
      <w:r>
        <w:rPr>
          <w:i/>
          <w:sz w:val="22"/>
          <w:szCs w:val="22"/>
        </w:rPr>
        <w:t xml:space="preserve"> of </w:t>
      </w:r>
      <w:proofErr w:type="spellStart"/>
      <w:r>
        <w:rPr>
          <w:i/>
          <w:sz w:val="22"/>
          <w:szCs w:val="22"/>
        </w:rPr>
        <w:t>populations</w:t>
      </w:r>
      <w:proofErr w:type="spellEnd"/>
      <w:r>
        <w:rPr>
          <w:i/>
        </w:rPr>
        <w:t>,</w:t>
      </w:r>
      <w:r>
        <w:rPr>
          <w:sz w:val="22"/>
          <w:szCs w:val="22"/>
        </w:rPr>
        <w:t xml:space="preserve"> ha esaminato un algoritmo di previsione per identificare ed aiutare i pazienti con esigenze sanitarie complesse. L’algoritmo in questione utilizzava i costi dell’assistenza sanitaria come </w:t>
      </w:r>
      <w:proofErr w:type="spellStart"/>
      <w:r>
        <w:rPr>
          <w:sz w:val="22"/>
          <w:szCs w:val="22"/>
        </w:rPr>
        <w:t>proxy</w:t>
      </w:r>
      <w:proofErr w:type="spellEnd"/>
      <w:r>
        <w:rPr>
          <w:sz w:val="22"/>
          <w:szCs w:val="22"/>
        </w:rPr>
        <w:t xml:space="preserve"> della salute e del bisogno di salute generando ampi </w:t>
      </w:r>
      <w:proofErr w:type="spellStart"/>
      <w:r>
        <w:rPr>
          <w:sz w:val="22"/>
          <w:szCs w:val="22"/>
        </w:rPr>
        <w:t>bias</w:t>
      </w:r>
      <w:proofErr w:type="spellEnd"/>
      <w:r>
        <w:rPr>
          <w:sz w:val="22"/>
          <w:szCs w:val="22"/>
        </w:rPr>
        <w:t xml:space="preserve"> razz</w:t>
      </w:r>
      <w:r>
        <w:rPr>
          <w:sz w:val="22"/>
          <w:szCs w:val="22"/>
        </w:rPr>
        <w:t xml:space="preserve">iali. Grazie allo studio </w:t>
      </w:r>
      <w:r>
        <w:rPr>
          <w:b/>
          <w:sz w:val="22"/>
          <w:szCs w:val="22"/>
        </w:rPr>
        <w:t>si è scoperto che i pazienti neri hanno ricevuto livelli di assistenza inferiori rispetto ai loro omologhi bianchi</w:t>
      </w:r>
      <w:r>
        <w:rPr>
          <w:sz w:val="22"/>
          <w:szCs w:val="22"/>
        </w:rPr>
        <w:t xml:space="preserve"> poiché l’algoritmo ha assegnato loro un punteggio di rischio più basso, il che significa che avrebbero dovuto essere</w:t>
      </w:r>
      <w:r>
        <w:rPr>
          <w:sz w:val="22"/>
          <w:szCs w:val="22"/>
        </w:rPr>
        <w:t xml:space="preserve"> più malati per ricevere lo stesso livello di assistenza rispetto ai pazienti bianchi. </w:t>
      </w:r>
    </w:p>
    <w:p w:rsidR="00F5278C" w:rsidRDefault="00F16DBB">
      <w:pPr>
        <w:rPr>
          <w:b/>
        </w:rPr>
      </w:pPr>
      <w:r>
        <w:rPr>
          <w:sz w:val="22"/>
          <w:szCs w:val="22"/>
        </w:rPr>
        <w:t>Il tema dell’equità riguarda anche L’Europa perché</w:t>
      </w:r>
      <w:r>
        <w:t>,</w:t>
      </w:r>
      <w:r>
        <w:rPr>
          <w:sz w:val="22"/>
          <w:szCs w:val="22"/>
        </w:rPr>
        <w:t xml:space="preserve"> nonostante la presenza di un sistema sanitario nazionale</w:t>
      </w:r>
      <w:r>
        <w:t>,</w:t>
      </w:r>
      <w:r>
        <w:rPr>
          <w:sz w:val="22"/>
          <w:szCs w:val="22"/>
        </w:rPr>
        <w:t xml:space="preserve"> molte innovazioni tecnologiche e implementazioni che utili</w:t>
      </w:r>
      <w:r>
        <w:rPr>
          <w:sz w:val="22"/>
          <w:szCs w:val="22"/>
        </w:rPr>
        <w:t xml:space="preserve">zzano l’intelligenza artificiale vengono sviluppate in un contesto e poi utilizzate in un altro. È quello che la scienziata Abeba </w:t>
      </w:r>
      <w:proofErr w:type="spellStart"/>
      <w:r>
        <w:rPr>
          <w:sz w:val="22"/>
          <w:szCs w:val="22"/>
        </w:rPr>
        <w:t>Birhane</w:t>
      </w:r>
      <w:proofErr w:type="spellEnd"/>
      <w:r>
        <w:rPr>
          <w:sz w:val="22"/>
          <w:szCs w:val="22"/>
        </w:rPr>
        <w:t xml:space="preserve"> ha definito come </w:t>
      </w:r>
      <w:r>
        <w:rPr>
          <w:b/>
          <w:sz w:val="22"/>
          <w:szCs w:val="22"/>
        </w:rPr>
        <w:t>“colonialismo algoritmico”</w:t>
      </w:r>
      <w:r>
        <w:rPr>
          <w:sz w:val="22"/>
          <w:szCs w:val="22"/>
        </w:rPr>
        <w:t xml:space="preserve"> poiché </w:t>
      </w:r>
      <w:r>
        <w:rPr>
          <w:b/>
          <w:sz w:val="22"/>
          <w:szCs w:val="22"/>
        </w:rPr>
        <w:t xml:space="preserve">molte soluzioni tecniche vengono sviluppate nel Nord del Mondo per </w:t>
      </w:r>
      <w:r>
        <w:rPr>
          <w:b/>
          <w:sz w:val="22"/>
          <w:szCs w:val="22"/>
        </w:rPr>
        <w:t>risolvere problemi in paesi dove l’emergenza sociale è più acuita creando di fatto forme di dipendenza ancora più forti.</w:t>
      </w:r>
    </w:p>
    <w:p w:rsidR="00F5278C" w:rsidRDefault="00F5278C">
      <w:pPr>
        <w:rPr>
          <w:sz w:val="28"/>
          <w:szCs w:val="28"/>
        </w:rPr>
      </w:pPr>
    </w:p>
    <w:p w:rsidR="00F5278C" w:rsidRDefault="00F16DBB">
      <w:r>
        <w:rPr>
          <w:sz w:val="28"/>
          <w:szCs w:val="28"/>
        </w:rPr>
        <w:t>Pensare l’IA in un ecosistema complesso</w:t>
      </w:r>
    </w:p>
    <w:p w:rsidR="00F5278C" w:rsidRDefault="00F5278C">
      <w:pPr>
        <w:rPr>
          <w:b/>
          <w:sz w:val="22"/>
          <w:szCs w:val="22"/>
        </w:rPr>
      </w:pPr>
    </w:p>
    <w:p w:rsidR="00F5278C" w:rsidRDefault="00F16DB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Occorre pensare alle applicazioni dell’intelligenza artificiale per la sanità attraverso una </w:t>
      </w:r>
      <w:r>
        <w:rPr>
          <w:b/>
          <w:sz w:val="22"/>
          <w:szCs w:val="22"/>
        </w:rPr>
        <w:t>lente socio-tecnica, un ecosistema più ampio</w:t>
      </w:r>
      <w:r>
        <w:rPr>
          <w:sz w:val="22"/>
          <w:szCs w:val="22"/>
        </w:rPr>
        <w:t xml:space="preserve"> che consideri le infrastrutture, le persone, le relazioni, le politiche organizzative e la regolamentazione. </w:t>
      </w:r>
    </w:p>
    <w:p w:rsidR="00F5278C" w:rsidRDefault="00F16DB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Il gruppo di ricerca coordinato </w:t>
      </w:r>
      <w:r>
        <w:t>Amalia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Fiske</w:t>
      </w:r>
      <w:proofErr w:type="spellEnd"/>
      <w:r>
        <w:rPr>
          <w:sz w:val="22"/>
          <w:szCs w:val="22"/>
        </w:rPr>
        <w:t xml:space="preserve"> sta sviluppando un approccio innovativo chiamato </w:t>
      </w:r>
      <w:r>
        <w:rPr>
          <w:b/>
          <w:sz w:val="22"/>
          <w:szCs w:val="22"/>
        </w:rPr>
        <w:t>giustiz</w:t>
      </w:r>
      <w:r>
        <w:rPr>
          <w:b/>
          <w:sz w:val="22"/>
          <w:szCs w:val="22"/>
        </w:rPr>
        <w:t>ia algoritmica partecipativa</w:t>
      </w:r>
      <w:r>
        <w:rPr>
          <w:sz w:val="22"/>
          <w:szCs w:val="22"/>
        </w:rPr>
        <w:t xml:space="preserve"> che definisce gli standard per la ricerca collaborativa per capir</w:t>
      </w:r>
      <w:r>
        <w:t>e meglio chi e cosa danneggi l’</w:t>
      </w:r>
      <w:r>
        <w:rPr>
          <w:sz w:val="22"/>
          <w:szCs w:val="22"/>
        </w:rPr>
        <w:t>I</w:t>
      </w:r>
      <w:r>
        <w:t>A</w:t>
      </w:r>
      <w:r>
        <w:rPr>
          <w:sz w:val="22"/>
          <w:szCs w:val="22"/>
        </w:rPr>
        <w:t xml:space="preserve">. L’approccio indaga come i danni economici, culturali e politici generati dall’intelligenza artificiale siano vissuti da gruppi </w:t>
      </w:r>
      <w:r>
        <w:rPr>
          <w:sz w:val="22"/>
          <w:szCs w:val="22"/>
        </w:rPr>
        <w:t>strutturalmente emarginati attraverso un lavoro etnografico multi</w:t>
      </w:r>
      <w:r>
        <w:t>-</w:t>
      </w:r>
      <w:r>
        <w:rPr>
          <w:sz w:val="22"/>
          <w:szCs w:val="22"/>
        </w:rPr>
        <w:t xml:space="preserve">sito. </w:t>
      </w:r>
    </w:p>
    <w:p w:rsidR="00F5278C" w:rsidRDefault="00F5278C">
      <w:pPr>
        <w:rPr>
          <w:sz w:val="28"/>
          <w:szCs w:val="28"/>
        </w:rPr>
      </w:pPr>
    </w:p>
    <w:p w:rsidR="00F5278C" w:rsidRDefault="00F16DBB">
      <w:pPr>
        <w:rPr>
          <w:sz w:val="28"/>
          <w:szCs w:val="28"/>
        </w:rPr>
      </w:pPr>
      <w:r>
        <w:rPr>
          <w:sz w:val="28"/>
          <w:szCs w:val="28"/>
        </w:rPr>
        <w:t xml:space="preserve">Amalia </w:t>
      </w:r>
      <w:proofErr w:type="spellStart"/>
      <w:r>
        <w:rPr>
          <w:sz w:val="28"/>
          <w:szCs w:val="28"/>
        </w:rPr>
        <w:t>Fiske</w:t>
      </w:r>
      <w:proofErr w:type="spellEnd"/>
    </w:p>
    <w:p w:rsidR="00F5278C" w:rsidRDefault="00F5278C">
      <w:pPr>
        <w:rPr>
          <w:b/>
          <w:sz w:val="22"/>
          <w:szCs w:val="22"/>
        </w:rPr>
      </w:pPr>
    </w:p>
    <w:p w:rsidR="00F5278C" w:rsidRDefault="00F16DBB">
      <w:pPr>
        <w:rPr>
          <w:sz w:val="22"/>
          <w:szCs w:val="22"/>
        </w:rPr>
      </w:pPr>
      <w:r>
        <w:rPr>
          <w:b/>
          <w:sz w:val="22"/>
          <w:szCs w:val="22"/>
        </w:rPr>
        <w:t>Antropologa culturale, è ricercatrice senior associata presso l'Istituto per la storia e l'etica della medicina dell'Uni</w:t>
      </w:r>
      <w:r>
        <w:rPr>
          <w:b/>
        </w:rPr>
        <w:t>versità Tecnica di Monaco (TUM)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Il suo lavoro </w:t>
      </w:r>
      <w:r>
        <w:t>si focalizza su</w:t>
      </w:r>
      <w:r>
        <w:rPr>
          <w:sz w:val="22"/>
          <w:szCs w:val="22"/>
        </w:rPr>
        <w:t>ll'intersezione tra antropologia culturale, studi femministi sulla scienza e la tecnologia, medicina sociale e bioetica, studi ambientali e umanistici. Ha conseguito il dottorato di ricerca in antropologia culturale presso l'Università della</w:t>
      </w:r>
      <w:r>
        <w:rPr>
          <w:sz w:val="22"/>
          <w:szCs w:val="22"/>
        </w:rPr>
        <w:t xml:space="preserve"> Carolina del Nord a </w:t>
      </w:r>
      <w:proofErr w:type="spellStart"/>
      <w:r>
        <w:rPr>
          <w:sz w:val="22"/>
          <w:szCs w:val="22"/>
        </w:rPr>
        <w:t>Chapel</w:t>
      </w:r>
      <w:proofErr w:type="spellEnd"/>
      <w:r>
        <w:rPr>
          <w:sz w:val="22"/>
          <w:szCs w:val="22"/>
        </w:rPr>
        <w:t xml:space="preserve"> Hill (USA), ha svolto un post-dottorato presso l'Università di Kiel e ha condotto un'ampia ricerca sul campo in Ecuador prima di arrivare alla TUM.</w:t>
      </w:r>
    </w:p>
    <w:p w:rsidR="00F5278C" w:rsidRDefault="00F16DBB">
      <w:pPr>
        <w:rPr>
          <w:sz w:val="22"/>
          <w:szCs w:val="22"/>
        </w:rPr>
      </w:pPr>
      <w:r>
        <w:rPr>
          <w:sz w:val="22"/>
          <w:szCs w:val="22"/>
        </w:rPr>
        <w:t xml:space="preserve">Amelia </w:t>
      </w:r>
      <w:proofErr w:type="spellStart"/>
      <w:r>
        <w:rPr>
          <w:sz w:val="22"/>
          <w:szCs w:val="22"/>
        </w:rPr>
        <w:t>Fiske</w:t>
      </w:r>
      <w:proofErr w:type="spellEnd"/>
      <w:r>
        <w:rPr>
          <w:sz w:val="22"/>
          <w:szCs w:val="22"/>
        </w:rPr>
        <w:t xml:space="preserve"> ha oltre dieci anni di esperienza nella conduzione di ricerche qual</w:t>
      </w:r>
      <w:r>
        <w:rPr>
          <w:sz w:val="22"/>
          <w:szCs w:val="22"/>
        </w:rPr>
        <w:t xml:space="preserve">itative </w:t>
      </w:r>
      <w:proofErr w:type="gramStart"/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 xml:space="preserve"> etnografiche interdisciplinari in due aree chiave: 1) approcci antropologici e critici delle scienze sociali alla bioetica, all'intelligenza artificiale e ai cambiamenti digitali e socio-tecnici nella produzione di conoscenza; 2) attenzione etno</w:t>
      </w:r>
      <w:r>
        <w:rPr>
          <w:sz w:val="22"/>
          <w:szCs w:val="22"/>
        </w:rPr>
        <w:t>grafica a questioni di giustizia socio-ecologica, esperienze di tossicità nel contesto dell'estrazione, metodi di ricerca partecipativa e arti grafiche.</w:t>
      </w:r>
    </w:p>
    <w:p w:rsidR="00F5278C" w:rsidRDefault="00F5278C">
      <w:pPr>
        <w:rPr>
          <w:b/>
        </w:rPr>
      </w:pPr>
    </w:p>
    <w:p w:rsidR="00F5278C" w:rsidRDefault="00F16DBB">
      <w:pPr>
        <w:rPr>
          <w:b/>
        </w:rPr>
      </w:pPr>
      <w:r>
        <w:rPr>
          <w:b/>
        </w:rPr>
        <w:t xml:space="preserve">Amalia </w:t>
      </w:r>
      <w:proofErr w:type="spellStart"/>
      <w:r>
        <w:rPr>
          <w:b/>
        </w:rPr>
        <w:t>Fiske</w:t>
      </w:r>
      <w:proofErr w:type="spellEnd"/>
      <w:r>
        <w:rPr>
          <w:b/>
        </w:rPr>
        <w:t xml:space="preserve"> sarà </w:t>
      </w:r>
      <w:proofErr w:type="spellStart"/>
      <w:r>
        <w:rPr>
          <w:b/>
        </w:rPr>
        <w:t>keynote</w:t>
      </w:r>
      <w:proofErr w:type="spellEnd"/>
      <w:r>
        <w:rPr>
          <w:b/>
        </w:rPr>
        <w:t xml:space="preserve"> speaker al Simposio </w:t>
      </w:r>
      <w:r>
        <w:rPr>
          <w:b/>
          <w:i/>
        </w:rPr>
        <w:t xml:space="preserve">Global </w:t>
      </w:r>
      <w:proofErr w:type="spellStart"/>
      <w:r>
        <w:rPr>
          <w:b/>
          <w:i/>
        </w:rPr>
        <w:t>Health</w:t>
      </w:r>
      <w:proofErr w:type="spellEnd"/>
      <w:r>
        <w:rPr>
          <w:b/>
          <w:i/>
        </w:rPr>
        <w:t xml:space="preserve"> in the Age of AI. </w:t>
      </w:r>
      <w:proofErr w:type="spellStart"/>
      <w:r>
        <w:rPr>
          <w:b/>
          <w:i/>
        </w:rPr>
        <w:t>Charting</w:t>
      </w:r>
      <w:proofErr w:type="spellEnd"/>
      <w:r>
        <w:rPr>
          <w:b/>
          <w:i/>
        </w:rPr>
        <w:t xml:space="preserve"> a Course for </w:t>
      </w:r>
      <w:proofErr w:type="spellStart"/>
      <w:r>
        <w:rPr>
          <w:b/>
          <w:i/>
        </w:rPr>
        <w:t>Et</w:t>
      </w:r>
      <w:r>
        <w:rPr>
          <w:b/>
          <w:i/>
        </w:rPr>
        <w:t>hical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Implementation</w:t>
      </w:r>
      <w:proofErr w:type="spellEnd"/>
      <w:r>
        <w:rPr>
          <w:b/>
          <w:i/>
        </w:rPr>
        <w:t xml:space="preserve"> and </w:t>
      </w:r>
      <w:proofErr w:type="spellStart"/>
      <w:r>
        <w:rPr>
          <w:b/>
          <w:i/>
        </w:rPr>
        <w:t>Societal</w:t>
      </w:r>
      <w:proofErr w:type="spellEnd"/>
      <w:r>
        <w:rPr>
          <w:b/>
          <w:i/>
        </w:rPr>
        <w:t xml:space="preserve"> Benefit </w:t>
      </w:r>
      <w:r>
        <w:rPr>
          <w:b/>
        </w:rPr>
        <w:t>il giorno 7 novembre 2024, alle ore 17.30</w:t>
      </w:r>
    </w:p>
    <w:p w:rsidR="00F5278C" w:rsidRDefault="00F16DBB">
      <w:pPr>
        <w:rPr>
          <w:b/>
          <w:sz w:val="22"/>
          <w:szCs w:val="22"/>
        </w:rPr>
      </w:pPr>
      <w:bookmarkStart w:id="1" w:name="_heading=h.30j0zll" w:colFirst="0" w:colLast="0"/>
      <w:bookmarkEnd w:id="1"/>
      <w:r>
        <w:t>Per seguirla</w:t>
      </w:r>
      <w:r>
        <w:rPr>
          <w:b/>
        </w:rPr>
        <w:t xml:space="preserve">: diretta streaming sul </w:t>
      </w:r>
      <w:hyperlink r:id="rId7">
        <w:r>
          <w:rPr>
            <w:b/>
            <w:color w:val="0000FF"/>
            <w:u w:val="single"/>
          </w:rPr>
          <w:t xml:space="preserve">canale </w:t>
        </w:r>
        <w:proofErr w:type="spellStart"/>
        <w:r>
          <w:rPr>
            <w:b/>
            <w:color w:val="0000FF"/>
            <w:u w:val="single"/>
          </w:rPr>
          <w:t>youtube</w:t>
        </w:r>
        <w:proofErr w:type="spellEnd"/>
        <w:r>
          <w:rPr>
            <w:b/>
            <w:color w:val="0000FF"/>
            <w:u w:val="single"/>
          </w:rPr>
          <w:t xml:space="preserve"> della Fondazione Giorgio Cini</w:t>
        </w:r>
      </w:hyperlink>
    </w:p>
    <w:sectPr w:rsidR="00F5278C">
      <w:headerReference w:type="default" r:id="rId8"/>
      <w:footerReference w:type="default" r:id="rId9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DBB" w:rsidRDefault="00F16DBB">
      <w:pPr>
        <w:spacing w:line="240" w:lineRule="auto"/>
      </w:pPr>
      <w:r>
        <w:separator/>
      </w:r>
    </w:p>
  </w:endnote>
  <w:endnote w:type="continuationSeparator" w:id="0">
    <w:p w:rsidR="00F16DBB" w:rsidRDefault="00F16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78C" w:rsidRDefault="00F5278C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DBB" w:rsidRDefault="00F16DBB">
      <w:pPr>
        <w:spacing w:line="240" w:lineRule="auto"/>
      </w:pPr>
      <w:r>
        <w:separator/>
      </w:r>
    </w:p>
  </w:footnote>
  <w:footnote w:type="continuationSeparator" w:id="0">
    <w:p w:rsidR="00F16DBB" w:rsidRDefault="00F16D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78C" w:rsidRDefault="00F16DBB">
    <w:pPr>
      <w:tabs>
        <w:tab w:val="center" w:pos="4819"/>
        <w:tab w:val="right" w:pos="7457"/>
      </w:tabs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-33326</wp:posOffset>
              </wp:positionH>
              <wp:positionV relativeFrom="page">
                <wp:posOffset>-33326</wp:posOffset>
              </wp:positionV>
              <wp:extent cx="7623176" cy="7626693"/>
              <wp:effectExtent l="0" t="0" r="0" b="0"/>
              <wp:wrapNone/>
              <wp:docPr id="3" name="Rettangolo arrotondato 3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278C" w:rsidRDefault="00F5278C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-33326</wp:posOffset>
              </wp:positionH>
              <wp:positionV relativeFrom="page">
                <wp:posOffset>-33326</wp:posOffset>
              </wp:positionV>
              <wp:extent cx="7623176" cy="7626693"/>
              <wp:effectExtent b="0" l="0" r="0" t="0"/>
              <wp:wrapNone/>
              <wp:docPr descr="Shape 2" id="3" name="image2.png"/>
              <a:graphic>
                <a:graphicData uri="http://schemas.openxmlformats.org/drawingml/2006/picture">
                  <pic:pic>
                    <pic:nvPicPr>
                      <pic:cNvPr descr="Shape 2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3176" cy="76266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-686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4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2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8C"/>
    <w:rsid w:val="003B0D9F"/>
    <w:rsid w:val="00F16DBB"/>
    <w:rsid w:val="00F5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8E4D6-2F79-4010-B475-BBE74810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C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C0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A3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FondazioneGCin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u7jlXD8luhGbTh0BtV6rdi0RA==">CgMxLjAyCWguMzBqMHpsbDgAciExWUl5WWdhMzZ6NHJiZDNoejN4VFpza3Y0dVMwb25PbEI=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Bozzato</cp:lastModifiedBy>
  <cp:revision>3</cp:revision>
  <dcterms:created xsi:type="dcterms:W3CDTF">2024-10-10T12:43:00Z</dcterms:created>
  <dcterms:modified xsi:type="dcterms:W3CDTF">2024-10-21T08:21:00Z</dcterms:modified>
</cp:coreProperties>
</file>