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F768B" w14:textId="5BE80D34" w:rsidR="00D06F45" w:rsidRDefault="00000000">
      <w:pPr>
        <w:spacing w:line="288" w:lineRule="auto"/>
        <w:rPr>
          <w:sz w:val="20"/>
          <w:szCs w:val="20"/>
        </w:rPr>
      </w:pPr>
      <w:proofErr w:type="spellStart"/>
      <w:r>
        <w:rPr>
          <w:sz w:val="20"/>
          <w:szCs w:val="20"/>
        </w:rPr>
        <w:t>Venice</w:t>
      </w:r>
      <w:proofErr w:type="spellEnd"/>
      <w:r>
        <w:rPr>
          <w:sz w:val="20"/>
          <w:szCs w:val="20"/>
        </w:rPr>
        <w:t xml:space="preserve">, </w:t>
      </w:r>
      <w:r w:rsidR="009B2FD7">
        <w:rPr>
          <w:sz w:val="20"/>
          <w:szCs w:val="20"/>
        </w:rPr>
        <w:t xml:space="preserve">Island of </w:t>
      </w:r>
      <w:r>
        <w:rPr>
          <w:sz w:val="20"/>
          <w:szCs w:val="20"/>
        </w:rPr>
        <w:t xml:space="preserve">San Giorgio Maggiore </w:t>
      </w:r>
    </w:p>
    <w:p w14:paraId="45936359" w14:textId="77777777" w:rsidR="00D06F45" w:rsidRPr="009B2FD7" w:rsidRDefault="00000000">
      <w:pPr>
        <w:spacing w:line="288" w:lineRule="auto"/>
        <w:rPr>
          <w:sz w:val="20"/>
          <w:szCs w:val="20"/>
          <w:lang w:val="en-US"/>
        </w:rPr>
      </w:pPr>
      <w:proofErr w:type="spellStart"/>
      <w:r w:rsidRPr="009B2FD7">
        <w:rPr>
          <w:sz w:val="20"/>
          <w:szCs w:val="20"/>
          <w:lang w:val="en-US"/>
        </w:rPr>
        <w:t>Longhena</w:t>
      </w:r>
      <w:proofErr w:type="spellEnd"/>
      <w:r w:rsidRPr="009B2FD7">
        <w:rPr>
          <w:sz w:val="20"/>
          <w:szCs w:val="20"/>
          <w:lang w:val="en-US"/>
        </w:rPr>
        <w:t xml:space="preserve"> Library</w:t>
      </w:r>
    </w:p>
    <w:p w14:paraId="425737A8" w14:textId="070D22E3" w:rsidR="00D06F45" w:rsidRPr="00CD21DA" w:rsidRDefault="00833FDB">
      <w:pPr>
        <w:spacing w:line="288" w:lineRule="auto"/>
        <w:rPr>
          <w:sz w:val="20"/>
          <w:szCs w:val="20"/>
          <w:lang w:val="en-US"/>
        </w:rPr>
      </w:pPr>
      <w:r>
        <w:rPr>
          <w:sz w:val="20"/>
          <w:szCs w:val="20"/>
          <w:lang w:val="en-US"/>
        </w:rPr>
        <w:t xml:space="preserve">6 </w:t>
      </w:r>
      <w:r w:rsidRPr="00CD21DA">
        <w:rPr>
          <w:sz w:val="20"/>
          <w:szCs w:val="20"/>
          <w:lang w:val="en-US"/>
        </w:rPr>
        <w:t>September 2024</w:t>
      </w:r>
    </w:p>
    <w:p w14:paraId="26FEF835" w14:textId="77777777" w:rsidR="00D06F45" w:rsidRPr="00CD21DA" w:rsidRDefault="00D06F45">
      <w:pPr>
        <w:spacing w:line="288" w:lineRule="auto"/>
        <w:rPr>
          <w:sz w:val="20"/>
          <w:szCs w:val="20"/>
          <w:lang w:val="en-US"/>
        </w:rPr>
      </w:pPr>
    </w:p>
    <w:p w14:paraId="1E84CA5E" w14:textId="77777777" w:rsidR="00D06F45" w:rsidRPr="00CD21DA" w:rsidRDefault="00000000">
      <w:pPr>
        <w:keepNext/>
        <w:keepLines/>
        <w:pBdr>
          <w:top w:val="nil"/>
          <w:left w:val="nil"/>
          <w:bottom w:val="nil"/>
          <w:right w:val="nil"/>
          <w:between w:val="nil"/>
        </w:pBdr>
        <w:spacing w:before="480" w:after="120"/>
        <w:jc w:val="left"/>
        <w:rPr>
          <w:b/>
          <w:i/>
          <w:lang w:val="en-US"/>
        </w:rPr>
      </w:pPr>
      <w:bookmarkStart w:id="0" w:name="_heading=h.30j0zll" w:colFirst="0" w:colLast="0"/>
      <w:bookmarkEnd w:id="0"/>
      <w:r w:rsidRPr="00CD21DA">
        <w:rPr>
          <w:b/>
          <w:i/>
          <w:sz w:val="38"/>
          <w:szCs w:val="38"/>
          <w:lang w:val="en-US"/>
        </w:rPr>
        <w:t xml:space="preserve">T6 Ecosystem &amp; S+T+ARTS </w:t>
      </w:r>
    </w:p>
    <w:p w14:paraId="67544C11" w14:textId="77777777" w:rsidR="00D06F45" w:rsidRPr="00CD21DA" w:rsidRDefault="00000000">
      <w:pPr>
        <w:spacing w:line="240" w:lineRule="auto"/>
        <w:ind w:right="263"/>
        <w:rPr>
          <w:sz w:val="22"/>
          <w:szCs w:val="22"/>
          <w:lang w:val="en-US"/>
        </w:rPr>
      </w:pPr>
      <w:r w:rsidRPr="00CD21DA">
        <w:rPr>
          <w:b/>
          <w:sz w:val="22"/>
          <w:szCs w:val="22"/>
          <w:lang w:val="en-US"/>
        </w:rPr>
        <w:t xml:space="preserve">T6 Ecosystem srl is a research and consultancy company </w:t>
      </w:r>
      <w:r w:rsidRPr="008B62D9">
        <w:rPr>
          <w:bCs/>
          <w:sz w:val="22"/>
          <w:szCs w:val="22"/>
          <w:lang w:val="en-US"/>
        </w:rPr>
        <w:t>known for pushing the boundaries of knowledge and</w:t>
      </w:r>
      <w:r w:rsidRPr="00CD21DA">
        <w:rPr>
          <w:b/>
          <w:sz w:val="22"/>
          <w:szCs w:val="22"/>
          <w:lang w:val="en-US"/>
        </w:rPr>
        <w:t xml:space="preserve"> transforming innovative ideas into practical solutions.</w:t>
      </w:r>
      <w:r w:rsidRPr="00CD21DA">
        <w:rPr>
          <w:sz w:val="22"/>
          <w:szCs w:val="22"/>
          <w:lang w:val="en-US"/>
        </w:rPr>
        <w:t xml:space="preserve"> The researchers at T6 combine expertise and passion for innovation, working at the intersection of theory and practical application. They adopt an </w:t>
      </w:r>
      <w:r w:rsidRPr="008B62D9">
        <w:rPr>
          <w:b/>
          <w:bCs/>
          <w:sz w:val="22"/>
          <w:szCs w:val="22"/>
          <w:lang w:val="en-US"/>
        </w:rPr>
        <w:t>interdisciplinary approach that unites quantitative and qualitative methods</w:t>
      </w:r>
      <w:r w:rsidRPr="00CD21DA">
        <w:rPr>
          <w:sz w:val="22"/>
          <w:szCs w:val="22"/>
          <w:lang w:val="en-US"/>
        </w:rPr>
        <w:t>, following the principles of action research.</w:t>
      </w:r>
    </w:p>
    <w:p w14:paraId="27F712CD" w14:textId="77777777" w:rsidR="00D06F45" w:rsidRPr="00CD21DA" w:rsidRDefault="00D06F45">
      <w:pPr>
        <w:spacing w:line="240" w:lineRule="auto"/>
        <w:ind w:right="263"/>
        <w:rPr>
          <w:sz w:val="22"/>
          <w:szCs w:val="22"/>
          <w:lang w:val="en-US"/>
        </w:rPr>
      </w:pPr>
    </w:p>
    <w:p w14:paraId="4C990828" w14:textId="77777777" w:rsidR="00D06F45" w:rsidRPr="00CD21DA" w:rsidRDefault="00000000">
      <w:pPr>
        <w:spacing w:line="240" w:lineRule="auto"/>
        <w:ind w:right="263"/>
        <w:rPr>
          <w:sz w:val="22"/>
          <w:szCs w:val="22"/>
          <w:lang w:val="en-US"/>
        </w:rPr>
      </w:pPr>
      <w:r w:rsidRPr="00CD21DA">
        <w:rPr>
          <w:b/>
          <w:sz w:val="22"/>
          <w:szCs w:val="22"/>
          <w:lang w:val="en-US"/>
        </w:rPr>
        <w:t>T6 Ecosystems supports the dialogue between research, innovation, and society through co-design and participatory processes</w:t>
      </w:r>
      <w:r w:rsidRPr="00CD21DA">
        <w:rPr>
          <w:sz w:val="22"/>
          <w:szCs w:val="22"/>
          <w:lang w:val="en-US"/>
        </w:rPr>
        <w:t>. These processes involve various stakeholders, allowing them to collaborate, share ideas, and develop solutions to urgent problems. Particular attention is given to inclusivity and the ethical aspects of citizen engagement, ensuring innovative and user-centered solutions.</w:t>
      </w:r>
    </w:p>
    <w:p w14:paraId="25DABD86" w14:textId="77777777" w:rsidR="00D06F45" w:rsidRPr="00CD21DA" w:rsidRDefault="00D06F45">
      <w:pPr>
        <w:spacing w:line="240" w:lineRule="auto"/>
        <w:ind w:right="263"/>
        <w:rPr>
          <w:sz w:val="22"/>
          <w:szCs w:val="22"/>
          <w:lang w:val="en-US"/>
        </w:rPr>
      </w:pPr>
    </w:p>
    <w:p w14:paraId="53A59319" w14:textId="77777777" w:rsidR="00D06F45" w:rsidRPr="00CD21DA" w:rsidRDefault="00000000">
      <w:pPr>
        <w:spacing w:line="240" w:lineRule="auto"/>
        <w:ind w:right="263"/>
        <w:rPr>
          <w:sz w:val="22"/>
          <w:szCs w:val="22"/>
          <w:lang w:val="en-US"/>
        </w:rPr>
      </w:pPr>
      <w:r w:rsidRPr="00CD21DA">
        <w:rPr>
          <w:sz w:val="22"/>
          <w:szCs w:val="22"/>
          <w:lang w:val="en-US"/>
        </w:rPr>
        <w:t xml:space="preserve">The company also works on </w:t>
      </w:r>
      <w:r w:rsidRPr="008B62D9">
        <w:rPr>
          <w:b/>
          <w:bCs/>
          <w:sz w:val="22"/>
          <w:szCs w:val="22"/>
          <w:lang w:val="en-US"/>
        </w:rPr>
        <w:t>assessing the impact of research and innovation projects</w:t>
      </w:r>
      <w:r w:rsidRPr="00CD21DA">
        <w:rPr>
          <w:sz w:val="22"/>
          <w:szCs w:val="22"/>
          <w:lang w:val="en-US"/>
        </w:rPr>
        <w:t xml:space="preserve">, </w:t>
      </w:r>
      <w:r w:rsidRPr="008B62D9">
        <w:rPr>
          <w:bCs/>
          <w:sz w:val="22"/>
          <w:szCs w:val="22"/>
          <w:lang w:val="en-US"/>
        </w:rPr>
        <w:t>helping organizations maximize positive impacts. Using a participatory and integrated approach,</w:t>
      </w:r>
      <w:r w:rsidRPr="00CD21DA">
        <w:rPr>
          <w:b/>
          <w:sz w:val="22"/>
          <w:szCs w:val="22"/>
          <w:lang w:val="en-US"/>
        </w:rPr>
        <w:t xml:space="preserve"> </w:t>
      </w:r>
      <w:r w:rsidRPr="00CD21DA">
        <w:rPr>
          <w:sz w:val="22"/>
          <w:szCs w:val="22"/>
          <w:lang w:val="en-US"/>
        </w:rPr>
        <w:t>T6 develops customized methodologies that combine qualitative and quantitative methods. This ensures that the results can be easily adopted by the management team and used for change and advocacy.</w:t>
      </w:r>
    </w:p>
    <w:p w14:paraId="1209029F" w14:textId="77777777" w:rsidR="00D06F45" w:rsidRPr="00CD21DA" w:rsidRDefault="00D06F45">
      <w:pPr>
        <w:spacing w:line="240" w:lineRule="auto"/>
        <w:ind w:right="263"/>
        <w:rPr>
          <w:b/>
          <w:sz w:val="22"/>
          <w:szCs w:val="22"/>
          <w:lang w:val="en-US"/>
        </w:rPr>
      </w:pPr>
    </w:p>
    <w:p w14:paraId="7EB64DBF" w14:textId="2EE08CF8" w:rsidR="00D06F45" w:rsidRPr="008B62D9" w:rsidRDefault="00000000">
      <w:pPr>
        <w:spacing w:line="240" w:lineRule="auto"/>
        <w:ind w:right="263"/>
        <w:rPr>
          <w:b/>
          <w:bCs/>
          <w:sz w:val="22"/>
          <w:szCs w:val="22"/>
          <w:lang w:val="en-US"/>
        </w:rPr>
      </w:pPr>
      <w:r w:rsidRPr="00CD21DA">
        <w:rPr>
          <w:sz w:val="22"/>
          <w:szCs w:val="22"/>
          <w:lang w:val="en-US"/>
        </w:rPr>
        <w:t xml:space="preserve">T6 </w:t>
      </w:r>
      <w:r w:rsidRPr="008B62D9">
        <w:rPr>
          <w:bCs/>
          <w:sz w:val="22"/>
          <w:szCs w:val="22"/>
          <w:lang w:val="en-US"/>
        </w:rPr>
        <w:t>designs and develops strategies to catalyze</w:t>
      </w:r>
      <w:r w:rsidRPr="00CD21DA">
        <w:rPr>
          <w:b/>
          <w:sz w:val="22"/>
          <w:szCs w:val="22"/>
          <w:lang w:val="en-US"/>
        </w:rPr>
        <w:t xml:space="preserve"> positive change</w:t>
      </w:r>
      <w:r w:rsidRPr="00CD21DA">
        <w:rPr>
          <w:sz w:val="22"/>
          <w:szCs w:val="22"/>
          <w:lang w:val="en-US"/>
        </w:rPr>
        <w:t xml:space="preserve"> </w:t>
      </w:r>
      <w:r w:rsidRPr="008B62D9">
        <w:rPr>
          <w:b/>
          <w:bCs/>
          <w:sz w:val="22"/>
          <w:szCs w:val="22"/>
          <w:lang w:val="en-US"/>
        </w:rPr>
        <w:t>through comprehensive and forward-looking policies</w:t>
      </w:r>
      <w:r w:rsidRPr="00CD21DA">
        <w:rPr>
          <w:sz w:val="22"/>
          <w:szCs w:val="22"/>
          <w:lang w:val="en-US"/>
        </w:rPr>
        <w:t xml:space="preserve">. The team of experts collaborates to create </w:t>
      </w:r>
      <w:r w:rsidR="008B62D9" w:rsidRPr="008B62D9">
        <w:rPr>
          <w:sz w:val="22"/>
          <w:szCs w:val="22"/>
          <w:lang w:val="en-US"/>
        </w:rPr>
        <w:t xml:space="preserve">innovative </w:t>
      </w:r>
      <w:r w:rsidRPr="00CD21DA">
        <w:rPr>
          <w:sz w:val="22"/>
          <w:szCs w:val="22"/>
          <w:lang w:val="en-US"/>
        </w:rPr>
        <w:t xml:space="preserve">data-driven policies and recommendations that address contemporary challenges and lay the foundation for a sustainable and equitable future. This involves </w:t>
      </w:r>
      <w:r w:rsidRPr="008B62D9">
        <w:rPr>
          <w:b/>
          <w:bCs/>
          <w:sz w:val="22"/>
          <w:szCs w:val="22"/>
          <w:lang w:val="en-US"/>
        </w:rPr>
        <w:t>promoting collaboration between policymakers and experts from both the private and public sectors.</w:t>
      </w:r>
    </w:p>
    <w:p w14:paraId="32D19D3C" w14:textId="77777777" w:rsidR="00D06F45" w:rsidRPr="00CD21DA" w:rsidRDefault="00D06F45">
      <w:pPr>
        <w:spacing w:line="240" w:lineRule="auto"/>
        <w:ind w:right="263"/>
        <w:rPr>
          <w:sz w:val="22"/>
          <w:szCs w:val="22"/>
          <w:lang w:val="en-US"/>
        </w:rPr>
      </w:pPr>
    </w:p>
    <w:p w14:paraId="2E89E296" w14:textId="77777777" w:rsidR="00D06F45" w:rsidRPr="00CD21DA" w:rsidRDefault="00000000">
      <w:pPr>
        <w:spacing w:line="240" w:lineRule="auto"/>
        <w:ind w:right="263"/>
        <w:rPr>
          <w:sz w:val="22"/>
          <w:szCs w:val="22"/>
          <w:lang w:val="en-US"/>
        </w:rPr>
      </w:pPr>
      <w:r w:rsidRPr="008B62D9">
        <w:rPr>
          <w:bCs/>
          <w:sz w:val="22"/>
          <w:szCs w:val="22"/>
          <w:lang w:val="en-US"/>
        </w:rPr>
        <w:t xml:space="preserve">Since 2019, T6 has been a partner of </w:t>
      </w:r>
      <w:r w:rsidRPr="00CD21DA">
        <w:rPr>
          <w:b/>
          <w:sz w:val="22"/>
          <w:szCs w:val="22"/>
          <w:lang w:val="en-US"/>
        </w:rPr>
        <w:t>S+T+ARTS, an initiative of the European Commission</w:t>
      </w:r>
      <w:r w:rsidRPr="00CD21DA">
        <w:rPr>
          <w:sz w:val="22"/>
          <w:szCs w:val="22"/>
          <w:lang w:val="en-US"/>
        </w:rPr>
        <w:t xml:space="preserve"> funded by the European Union's Horizon 2020 research and innovation program. </w:t>
      </w:r>
      <w:r w:rsidRPr="008B62D9">
        <w:rPr>
          <w:b/>
          <w:bCs/>
          <w:sz w:val="22"/>
          <w:szCs w:val="22"/>
          <w:lang w:val="en-US"/>
        </w:rPr>
        <w:t>S+T+ARTS aims to promote alliances between science, technology, and art</w:t>
      </w:r>
      <w:r w:rsidRPr="00CD21DA">
        <w:rPr>
          <w:sz w:val="22"/>
          <w:szCs w:val="22"/>
          <w:lang w:val="en-US"/>
        </w:rPr>
        <w:t xml:space="preserve"> to effectively implement a European approach to technological innovation focused on human needs and values.</w:t>
      </w:r>
    </w:p>
    <w:p w14:paraId="7AC65B85" w14:textId="77777777" w:rsidR="00D06F45" w:rsidRPr="00CD21DA" w:rsidRDefault="00D06F45">
      <w:pPr>
        <w:spacing w:line="240" w:lineRule="auto"/>
        <w:ind w:right="263"/>
        <w:rPr>
          <w:sz w:val="22"/>
          <w:szCs w:val="22"/>
          <w:lang w:val="en-US"/>
        </w:rPr>
      </w:pPr>
    </w:p>
    <w:p w14:paraId="26B20503" w14:textId="77777777" w:rsidR="00D06F45" w:rsidRPr="00CD21DA" w:rsidRDefault="00000000">
      <w:pPr>
        <w:spacing w:line="240" w:lineRule="auto"/>
        <w:ind w:right="263"/>
        <w:rPr>
          <w:sz w:val="22"/>
          <w:szCs w:val="22"/>
          <w:lang w:val="en-US"/>
        </w:rPr>
      </w:pPr>
      <w:r w:rsidRPr="00CD21DA">
        <w:rPr>
          <w:sz w:val="22"/>
          <w:szCs w:val="22"/>
          <w:lang w:val="en-US"/>
        </w:rPr>
        <w:t>The S+T+ARTS platform seeks to bring together the entire ecosystem by offering specific services and functionalities to develop, strengthen, and expand the community. T6 is currently a partner in the S+T+ARTS Echo project, handling policy dialogue activities and impact assessment.</w:t>
      </w:r>
    </w:p>
    <w:p w14:paraId="16771C22" w14:textId="77777777" w:rsidR="00D06F45" w:rsidRPr="00CD21DA" w:rsidRDefault="00D06F45">
      <w:pPr>
        <w:spacing w:line="240" w:lineRule="auto"/>
        <w:ind w:right="263"/>
        <w:rPr>
          <w:sz w:val="22"/>
          <w:szCs w:val="22"/>
          <w:lang w:val="en-US"/>
        </w:rPr>
      </w:pPr>
    </w:p>
    <w:p w14:paraId="727F083C" w14:textId="77777777" w:rsidR="00D06F45" w:rsidRPr="00CD21DA" w:rsidRDefault="00000000">
      <w:pPr>
        <w:spacing w:line="240" w:lineRule="auto"/>
        <w:ind w:right="263"/>
        <w:rPr>
          <w:b/>
          <w:sz w:val="22"/>
          <w:szCs w:val="22"/>
          <w:lang w:val="en-US"/>
        </w:rPr>
      </w:pPr>
      <w:r w:rsidRPr="00CD21DA">
        <w:rPr>
          <w:sz w:val="22"/>
          <w:szCs w:val="22"/>
          <w:lang w:val="en-US"/>
        </w:rPr>
        <w:t xml:space="preserve">In October 2023, the Fondazione Giorgio Cini, thanks to its ARCHiVe Center, hosted </w:t>
      </w:r>
      <w:r w:rsidRPr="00CD21DA">
        <w:rPr>
          <w:b/>
          <w:sz w:val="22"/>
          <w:szCs w:val="22"/>
          <w:lang w:val="en-US"/>
        </w:rPr>
        <w:t xml:space="preserve">T6's international meeting </w:t>
      </w:r>
      <w:r w:rsidRPr="00CD21DA">
        <w:rPr>
          <w:i/>
          <w:sz w:val="22"/>
          <w:szCs w:val="22"/>
          <w:lang w:val="en-US"/>
        </w:rPr>
        <w:t>S+T+ARTS Prize: Fostering Regional Innovation through Arts, Science and Technology</w:t>
      </w:r>
      <w:r w:rsidRPr="00CD21DA">
        <w:rPr>
          <w:sz w:val="22"/>
          <w:szCs w:val="22"/>
          <w:lang w:val="en-US"/>
        </w:rPr>
        <w:t>,</w:t>
      </w:r>
      <w:r w:rsidRPr="00CD21DA">
        <w:rPr>
          <w:b/>
          <w:sz w:val="22"/>
          <w:szCs w:val="22"/>
          <w:lang w:val="en-US"/>
        </w:rPr>
        <w:t xml:space="preserve"> on the potential and tools offered by the S+T+ARTS platform, initiating a fruitful collaboration in the cultural field.</w:t>
      </w:r>
    </w:p>
    <w:p w14:paraId="0E6BD55E" w14:textId="77777777" w:rsidR="00D06F45" w:rsidRPr="00CD21DA" w:rsidRDefault="00D06F45">
      <w:pPr>
        <w:spacing w:line="240" w:lineRule="auto"/>
        <w:ind w:right="263"/>
        <w:rPr>
          <w:sz w:val="22"/>
          <w:szCs w:val="22"/>
          <w:lang w:val="en-US"/>
        </w:rPr>
      </w:pPr>
    </w:p>
    <w:p w14:paraId="59E53C75" w14:textId="06D89BB7" w:rsidR="00D06F45" w:rsidRPr="00CD21DA" w:rsidRDefault="00000000">
      <w:pPr>
        <w:spacing w:line="240" w:lineRule="auto"/>
        <w:ind w:right="263"/>
        <w:rPr>
          <w:b/>
          <w:sz w:val="22"/>
          <w:szCs w:val="22"/>
          <w:lang w:val="en-US"/>
        </w:rPr>
      </w:pPr>
      <w:r w:rsidRPr="00CD21DA">
        <w:rPr>
          <w:sz w:val="22"/>
          <w:szCs w:val="22"/>
          <w:lang w:val="en-US"/>
        </w:rPr>
        <w:t xml:space="preserve">info </w:t>
      </w:r>
      <w:r w:rsidRPr="00CD21DA">
        <w:rPr>
          <w:rFonts w:ascii="Times New Roman" w:eastAsia="Times New Roman" w:hAnsi="Times New Roman" w:cs="Times New Roman"/>
          <w:sz w:val="22"/>
          <w:szCs w:val="22"/>
          <w:lang w:val="en-US"/>
        </w:rPr>
        <w:t xml:space="preserve">| </w:t>
      </w:r>
      <w:hyperlink r:id="rId7">
        <w:r w:rsidRPr="00CD21DA">
          <w:rPr>
            <w:rFonts w:ascii="Times New Roman" w:eastAsia="Times New Roman" w:hAnsi="Times New Roman" w:cs="Times New Roman"/>
            <w:color w:val="1155CC"/>
            <w:sz w:val="22"/>
            <w:szCs w:val="22"/>
            <w:u w:val="single"/>
            <w:lang w:val="en-US"/>
          </w:rPr>
          <w:t>t-6.it/</w:t>
        </w:r>
      </w:hyperlink>
      <w:r w:rsidRPr="00CD21DA">
        <w:rPr>
          <w:rFonts w:ascii="Times New Roman" w:eastAsia="Times New Roman" w:hAnsi="Times New Roman" w:cs="Times New Roman"/>
          <w:sz w:val="22"/>
          <w:szCs w:val="22"/>
          <w:lang w:val="en-US"/>
        </w:rPr>
        <w:t xml:space="preserve"> </w:t>
      </w:r>
      <w:r w:rsidR="008B62D9">
        <w:rPr>
          <w:rFonts w:ascii="Times New Roman" w:eastAsia="Times New Roman" w:hAnsi="Times New Roman" w:cs="Times New Roman"/>
          <w:sz w:val="22"/>
          <w:szCs w:val="22"/>
          <w:lang w:val="en-US"/>
        </w:rPr>
        <w:t>and</w:t>
      </w:r>
      <w:r w:rsidRPr="00CD21DA">
        <w:rPr>
          <w:rFonts w:ascii="Times New Roman" w:eastAsia="Times New Roman" w:hAnsi="Times New Roman" w:cs="Times New Roman"/>
          <w:sz w:val="22"/>
          <w:szCs w:val="22"/>
          <w:lang w:val="en-US"/>
        </w:rPr>
        <w:t xml:space="preserve"> </w:t>
      </w:r>
      <w:hyperlink r:id="rId8">
        <w:r w:rsidRPr="00CD21DA">
          <w:rPr>
            <w:rFonts w:ascii="Times New Roman" w:eastAsia="Times New Roman" w:hAnsi="Times New Roman" w:cs="Times New Roman"/>
            <w:color w:val="1155CC"/>
            <w:sz w:val="22"/>
            <w:szCs w:val="22"/>
            <w:u w:val="single"/>
            <w:lang w:val="en-US"/>
          </w:rPr>
          <w:t>starts.eu</w:t>
        </w:r>
      </w:hyperlink>
    </w:p>
    <w:sectPr w:rsidR="00D06F45" w:rsidRPr="00CD21DA">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373C1" w14:textId="77777777" w:rsidR="001E2757" w:rsidRDefault="001E2757">
      <w:pPr>
        <w:spacing w:line="240" w:lineRule="auto"/>
      </w:pPr>
      <w:r>
        <w:separator/>
      </w:r>
    </w:p>
  </w:endnote>
  <w:endnote w:type="continuationSeparator" w:id="0">
    <w:p w14:paraId="13B9B99A" w14:textId="77777777" w:rsidR="001E2757" w:rsidRDefault="001E2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F5FC" w14:textId="77777777" w:rsidR="00D06F45" w:rsidRDefault="00D06F45">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5A8E" w14:textId="77777777" w:rsidR="001E2757" w:rsidRDefault="001E2757">
      <w:pPr>
        <w:spacing w:line="240" w:lineRule="auto"/>
      </w:pPr>
      <w:r>
        <w:separator/>
      </w:r>
    </w:p>
  </w:footnote>
  <w:footnote w:type="continuationSeparator" w:id="0">
    <w:p w14:paraId="38F59A7C" w14:textId="77777777" w:rsidR="001E2757" w:rsidRDefault="001E27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B3DF2" w14:textId="77777777" w:rsidR="00D06F45" w:rsidRDefault="00000000">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1F17B2C5" wp14:editId="6B31EAC2">
              <wp:simplePos x="0" y="0"/>
              <wp:positionH relativeFrom="page">
                <wp:posOffset>-42849</wp:posOffset>
              </wp:positionH>
              <wp:positionV relativeFrom="page">
                <wp:posOffset>-42847</wp:posOffset>
              </wp:positionV>
              <wp:extent cx="7642226" cy="7645743"/>
              <wp:effectExtent l="0" t="0" r="0" b="0"/>
              <wp:wrapNone/>
              <wp:docPr id="7" name="Rettangolo con angoli arrotondati 7"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614F67A5" w14:textId="77777777" w:rsidR="00D06F45" w:rsidRDefault="00D06F4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1F17B2C5" id="Rettangolo con angoli arrotondati 7" o:spid="_x0000_s1026" alt="Shape 2" style="position:absolute;left:0;text-align:left;margin-left:-3.35pt;margin-top:-3.35pt;width:601.75pt;height:602.0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" stroked="f">
              <v:textbox inset="2.53958mm,2.53958mm,2.53958mm,2.53958mm">
                <w:txbxContent>
                  <w:p w14:paraId="614F67A5" w14:textId="77777777" w:rsidR="00D06F45" w:rsidRDefault="00D06F45">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75080158" wp14:editId="4F288A53">
          <wp:simplePos x="0" y="0"/>
          <wp:positionH relativeFrom="page">
            <wp:posOffset>-684</wp:posOffset>
          </wp:positionH>
          <wp:positionV relativeFrom="page">
            <wp:posOffset>0</wp:posOffset>
          </wp:positionV>
          <wp:extent cx="7555511" cy="10692001"/>
          <wp:effectExtent l="0" t="0" r="0" b="0"/>
          <wp:wrapNone/>
          <wp:docPr id="8"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F45"/>
    <w:rsid w:val="000F3775"/>
    <w:rsid w:val="001E2757"/>
    <w:rsid w:val="004E7E7C"/>
    <w:rsid w:val="00793493"/>
    <w:rsid w:val="007B49C3"/>
    <w:rsid w:val="00833FDB"/>
    <w:rsid w:val="008B62D9"/>
    <w:rsid w:val="009B2FD7"/>
    <w:rsid w:val="00CD21DA"/>
    <w:rsid w:val="00D06F45"/>
    <w:rsid w:val="00F81545"/>
    <w:rsid w:val="00FE08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DFD0"/>
  <w15:docId w15:val="{A6B95A87-9224-4FB3-9279-39B0C27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paragraph" w:styleId="NormaleWeb">
    <w:name w:val="Normal (Web)"/>
    <w:basedOn w:val="Normale"/>
    <w:uiPriority w:val="99"/>
    <w:semiHidden/>
    <w:unhideWhenUsed/>
    <w:rsid w:val="00965E8D"/>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65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arts.eu/" TargetMode="External"/><Relationship Id="rId3" Type="http://schemas.openxmlformats.org/officeDocument/2006/relationships/settings" Target="settings.xml"/><Relationship Id="rId7" Type="http://schemas.openxmlformats.org/officeDocument/2006/relationships/hyperlink" Target="https://www.t-6.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71BNWl8+kJnL5eouPIwB995uXQ==">CgMxLjAyCWguMzBqMHpsbDgAciExcF9ieU5FUTdUNDQwUGxLcUhFelQ4UG1WbV9Jbm9ESVU=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2365</Characters>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2024-07-15T12:58:00Z</dcterms:created>
  <dcterms:modified xsi:type="dcterms:W3CDTF">2024-07-22T09:37:00Z</dcterms:modified>
</cp:coreProperties>
</file>