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27" w:line="240" w:lineRule="auto"/>
        <w:jc w:val="center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Seminari di Musica Antica Egida Sartori e Laura Alvini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Direttore: Pedro Memelsdorff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-2" w:hanging="7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Sanctus Petrus et Sancta Maria Magdalena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left="-2" w:hanging="7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Johann Adolf Hasse all’Ospedale degli Incurabili (1758)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-2" w:hanging="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Master-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class a cura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Vivica Genaux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Venezia, Fondazione Giorgio Cini, </w:t>
      </w:r>
      <w:r w:rsidDel="00000000" w:rsidR="00000000" w:rsidRPr="00000000">
        <w:rPr>
          <w:sz w:val="28"/>
          <w:szCs w:val="28"/>
          <w:rtl w:val="0"/>
        </w:rPr>
        <w:t xml:space="preserve">25-29 novembre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Scadenza per la presentazione delle domande</w:t>
      </w:r>
      <w:r w:rsidDel="00000000" w:rsidR="00000000" w:rsidRPr="00000000">
        <w:rPr>
          <w:color w:val="000000"/>
          <w:sz w:val="28"/>
          <w:szCs w:val="28"/>
          <w:highlight w:val="white"/>
          <w:u w:val="single"/>
          <w:rtl w:val="0"/>
        </w:rPr>
        <w:t xml:space="preserve">: 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8 ottobre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 anche negli altri grandi ospedali veneziani – dei Derelitti, dei Mendicanti e della Pietà – anche in quello degli Incurabili l’estrema importanza data all’educazione musicale nel Sei e Settecento è commisurata alla fama dei compositori impegnati ad insegnare e dirigere le rappresentazioni pubbliche. Tra loro si annoverano grandi nomi quali Pallavicino, Porpora, Jomelli, Galuppi e – forse il più noto tra tutti loro – Johann Adolf Hasse.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pute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degli Incurabili Hasse compose due grandi mottetti sul cinquantesimo salmo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Miserere mei Deus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(uno in do e uno in re minore), da essere eseguiti durante le celebrazioni della Settimana Santa nella chiesa dell’ospedale, consacrata al Santissimo Salvatore. E a modo d’introduzione per ognuno di essi, compose anche due oratori: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Serpentes in deserto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(introduzione del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Miserere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do) 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Sanctus Petrus et Sancta Maria Magdalena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(introduzione del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Miserere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re). La loro funzione era didattico-morale: esortare le ragazze e il loro uditorio alla compassione e cioè l'immedesimazione con il massimo dolore, preludio del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 profundis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espresso dal susseguente salmo penitenziale.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seminario si concentrerà su uno di quegli oratori,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Sanctus Petrus et Sancta Magdalena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composto nel 1758 per le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pute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degli Incurabili. Il suo interesse poetico risiede soprattutto nella prospettiva della narrazione: la Passione di Gesù vista non solo da Pietro e Maddalena, ma anche da tre personaggi ‘minori’ dei Vangeli, Maria madre di Giacomo, Salomé, e Giuseppe di Arimatea. E l’interesse musicale, infine, consiste nella varietà e intensità delle strutture e figure retoriche con cui Hasse arricchisce ed anzi esaspera quella narrazione.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Docente principale del seminario sarà il mezzosoprano Vivica Genaux, rinomata specialista nel repertorio hassiano, che verrà assistita da Raffaele Mellace, uno dei massimi esperti del settore.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 sempre il seminario si concluderà con un concerto pubblico. </w:t>
      </w:r>
    </w:p>
    <w:p w:rsidR="00000000" w:rsidDel="00000000" w:rsidP="00000000" w:rsidRDefault="00000000" w:rsidRPr="00000000" w14:paraId="00000015">
      <w:pPr>
        <w:widowControl w:val="0"/>
        <w:spacing w:after="0" w:before="94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L’evento è organizzato con il contributo di Regione del Veneto e delle fondazioni svizzere Concordance, Irma Merk e L.+Th. La Roche.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Bando per borse di studio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4.000000000000001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bando è rivolto a giovani cantanti e strumentisti (violini e continuo), professionisti o semi-professionisti, specializzati nel repertorio barocco.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 partecipare alla selezione è necessario inviare all’e-mail della segreteria dei seminari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musica.antica@cini.it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il seguente materiale entro e non oltre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il </w:t>
      </w:r>
      <w:r w:rsidDel="00000000" w:rsidR="00000000" w:rsidRPr="00000000">
        <w:rPr>
          <w:b w:val="1"/>
          <w:highlight w:val="white"/>
          <w:rtl w:val="0"/>
        </w:rPr>
        <w:t xml:space="preserve">8 ottobre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2024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58" w:right="56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CV dettagliato;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58" w:right="567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copia di un documento d’identità;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registrazione video di un’esecuzione dal vivo di due brani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 periodo, inviata tramite link a una piattaforma di condivisione (Google drive, Vimeo, YouTube –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escluso invio tramite WeTransfer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dichiarazione di pieno impegno alla partecipazione al seminario durante tutti i giorni indicati dal presente bando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25-29 novembre 2024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in caso di vincita;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dichiarazione di consenso a partecipare ad un concerto pubblico registrato (ad uso non commerciale) alla fine del Seminario.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Borse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I vincitori usufruiranno di borse di studio che coprono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la quota d’iscrizione al seminario, l’alloggio (in camere singole per massimo 4 notti), le spese parziali di vitto e le spese di viaggio (in classe economy e fino a un massimo di 700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Euro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 persona).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viaggi devono essere concordati e acquistati tramite la segreteria dei seminari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 seminario possono accedere gratuitamente ascoltatori che ne facciano richiesta alla segreteria, previa approvazione della loro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-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e">
    <w:name w:val="Revision"/>
    <w:hidden w:val="1"/>
    <w:uiPriority w:val="99"/>
    <w:semiHidden w:val="1"/>
    <w:rsid w:val="00E40C63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Hyx41JHNNhi8r8AuuH81cb59GA==">CgMxLjAyCGguZ2pkZ3hzMgloLjFmb2I5dGUyCWguMzBqMHpsbDgAciExZm9tWFhhVmRyRm5nWDZDNTVNTXRIcXhSc1VsZTQ0TUU=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2024-06-06T10:27:00Z</dcterms:created>
  <dc:creator>Pedro Leo Emme</dc:creator>
</cp:coreProperties>
</file>